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FEC8" w14:textId="77777777" w:rsidR="00A40F99" w:rsidRDefault="00050D80" w:rsidP="00A40F99">
      <w:pPr>
        <w:pStyle w:val="Header"/>
        <w:tabs>
          <w:tab w:val="left" w:pos="720"/>
        </w:tabs>
        <w:jc w:val="center"/>
        <w:rPr>
          <w:rFonts w:ascii="Times New Roman" w:hAnsi="Times New Roman"/>
          <w:sz w:val="24"/>
          <w:szCs w:val="24"/>
          <w:lang w:val="lv-LV"/>
        </w:rPr>
      </w:pPr>
      <w:r>
        <w:rPr>
          <w:rFonts w:ascii="Times New Roman" w:hAnsi="Times New Roman"/>
          <w:sz w:val="24"/>
          <w:szCs w:val="24"/>
          <w:lang w:val="lv-LV"/>
        </w:rPr>
        <w:t>Rīgā</w:t>
      </w:r>
    </w:p>
    <w:p w14:paraId="4D1E1EA4" w14:textId="77777777" w:rsidR="00A40F99" w:rsidRDefault="00050D80" w:rsidP="00A40F99">
      <w:pPr>
        <w:pStyle w:val="Header"/>
        <w:tabs>
          <w:tab w:val="left" w:pos="720"/>
        </w:tabs>
        <w:spacing w:before="200"/>
        <w:rPr>
          <w:rFonts w:ascii="Times New Roman" w:hAnsi="Times New Roman"/>
          <w:sz w:val="24"/>
          <w:szCs w:val="24"/>
          <w:lang w:val="lv-LV"/>
        </w:rPr>
      </w:pPr>
      <w:r>
        <w:rPr>
          <w:rFonts w:ascii="Times New Roman" w:hAnsi="Times New Roman"/>
          <w:noProof/>
          <w:sz w:val="24"/>
          <w:szCs w:val="24"/>
          <w:lang w:val="lv-LV"/>
        </w:rPr>
        <w:t>26.06.2024</w:t>
      </w:r>
      <w:r>
        <w:rPr>
          <w:rFonts w:ascii="Times New Roman" w:hAnsi="Times New Roman"/>
          <w:sz w:val="24"/>
          <w:szCs w:val="24"/>
          <w:lang w:val="lv-LV"/>
        </w:rPr>
        <w:tab/>
      </w:r>
    </w:p>
    <w:p w14:paraId="178A4735" w14:textId="77777777" w:rsidR="00A40F99" w:rsidRPr="00C91F1A" w:rsidRDefault="00050D80" w:rsidP="00A40F99">
      <w:pPr>
        <w:pStyle w:val="Header"/>
        <w:tabs>
          <w:tab w:val="clear" w:pos="4320"/>
          <w:tab w:val="clear" w:pos="8640"/>
        </w:tabs>
        <w:spacing w:before="200"/>
        <w:ind w:left="2880" w:firstLine="720"/>
        <w:rPr>
          <w:rFonts w:ascii="Times New Roman" w:hAnsi="Times New Roman"/>
          <w:b/>
          <w:bCs/>
          <w:sz w:val="28"/>
          <w:szCs w:val="28"/>
          <w:lang w:val="lv-LV"/>
        </w:rPr>
      </w:pPr>
      <w:r w:rsidRPr="00C91F1A">
        <w:rPr>
          <w:rFonts w:ascii="Times New Roman" w:hAnsi="Times New Roman"/>
          <w:b/>
          <w:bCs/>
          <w:sz w:val="28"/>
          <w:szCs w:val="28"/>
          <w:lang w:val="lv-LV"/>
        </w:rPr>
        <w:t xml:space="preserve">Programma Nr. </w:t>
      </w:r>
      <w:r w:rsidRPr="00C91F1A">
        <w:rPr>
          <w:rFonts w:ascii="Times New Roman" w:hAnsi="Times New Roman"/>
          <w:b/>
          <w:bCs/>
          <w:noProof/>
          <w:sz w:val="28"/>
          <w:szCs w:val="28"/>
          <w:lang w:val="lv-LV"/>
        </w:rPr>
        <w:t>5-03/27/2024</w:t>
      </w:r>
    </w:p>
    <w:p w14:paraId="2EDA76A0" w14:textId="77777777" w:rsidR="008E5CE8" w:rsidRPr="008E5CE8" w:rsidRDefault="00050D80" w:rsidP="008E5CE8">
      <w:pPr>
        <w:widowControl/>
        <w:tabs>
          <w:tab w:val="left" w:pos="3290"/>
        </w:tabs>
        <w:spacing w:after="0" w:line="240" w:lineRule="auto"/>
        <w:jc w:val="center"/>
        <w:rPr>
          <w:rFonts w:ascii="Times New Roman" w:eastAsia="Times New Roman" w:hAnsi="Times New Roman"/>
          <w:b/>
          <w:color w:val="000000"/>
          <w:sz w:val="28"/>
          <w:szCs w:val="28"/>
          <w:lang w:val="lv-LV" w:eastAsia="lv-LV"/>
        </w:rPr>
      </w:pPr>
      <w:r w:rsidRPr="008E5CE8">
        <w:rPr>
          <w:rFonts w:ascii="Times New Roman" w:eastAsia="Times New Roman" w:hAnsi="Times New Roman"/>
          <w:b/>
          <w:bCs/>
          <w:color w:val="000000" w:themeColor="text1"/>
          <w:sz w:val="28"/>
          <w:szCs w:val="28"/>
          <w:lang w:val="lv-LV" w:eastAsia="en-GB"/>
        </w:rPr>
        <w:t xml:space="preserve">ietekmes uz vidi novērtējumam </w:t>
      </w:r>
      <w:r w:rsidRPr="008E5CE8">
        <w:rPr>
          <w:rFonts w:ascii="Times New Roman" w:eastAsia="Times New Roman" w:hAnsi="Times New Roman"/>
          <w:b/>
          <w:bCs/>
          <w:color w:val="000000" w:themeColor="text1"/>
          <w:sz w:val="28"/>
          <w:szCs w:val="28"/>
          <w:shd w:val="clear" w:color="auto" w:fill="FFFFFF"/>
          <w:lang w:val="lv-LV" w:eastAsia="en-GB"/>
        </w:rPr>
        <w:t xml:space="preserve">derīgo izrakteņu (dolomīta) ieguvei </w:t>
      </w:r>
      <w:r w:rsidRPr="008E5CE8">
        <w:rPr>
          <w:rFonts w:ascii="Times New Roman" w:eastAsia="Times New Roman" w:hAnsi="Times New Roman"/>
          <w:b/>
          <w:color w:val="000000"/>
          <w:sz w:val="28"/>
          <w:szCs w:val="28"/>
          <w:lang w:val="lv-LV" w:eastAsia="lv-LV"/>
        </w:rPr>
        <w:t>dolomīta atradnē “Iecava II”, Salgales pagastā, Jelgavas novadā</w:t>
      </w:r>
    </w:p>
    <w:p w14:paraId="0E059EB6" w14:textId="77777777" w:rsidR="008E5CE8" w:rsidRPr="008E5CE8" w:rsidRDefault="008E5CE8" w:rsidP="008E5CE8">
      <w:pPr>
        <w:widowControl/>
        <w:tabs>
          <w:tab w:val="left" w:pos="3290"/>
        </w:tabs>
        <w:spacing w:after="0" w:line="240" w:lineRule="auto"/>
        <w:jc w:val="center"/>
        <w:rPr>
          <w:rFonts w:ascii="Times New Roman" w:eastAsia="Times New Roman" w:hAnsi="Times New Roman"/>
          <w:bCs/>
          <w:sz w:val="24"/>
          <w:szCs w:val="24"/>
          <w:lang w:val="lv-LV" w:eastAsia="en-GB"/>
        </w:rPr>
      </w:pPr>
    </w:p>
    <w:p w14:paraId="08A663A5" w14:textId="77777777" w:rsidR="008E5CE8" w:rsidRPr="008E5CE8" w:rsidRDefault="00050D80" w:rsidP="008E5CE8">
      <w:pPr>
        <w:widowControl/>
        <w:tabs>
          <w:tab w:val="left" w:pos="3290"/>
          <w:tab w:val="left" w:pos="5180"/>
        </w:tabs>
        <w:spacing w:before="120" w:after="120" w:line="240" w:lineRule="auto"/>
        <w:jc w:val="right"/>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Derīga līdz 2029. gada 26. jūnijam</w:t>
      </w:r>
    </w:p>
    <w:p w14:paraId="724954E7" w14:textId="77777777" w:rsidR="008E5CE8" w:rsidRPr="008E5CE8" w:rsidRDefault="00050D80" w:rsidP="008E5CE8">
      <w:pPr>
        <w:tabs>
          <w:tab w:val="left" w:pos="0"/>
          <w:tab w:val="left" w:pos="3290"/>
        </w:tabs>
        <w:spacing w:before="240" w:after="240" w:line="240" w:lineRule="auto"/>
        <w:jc w:val="both"/>
        <w:rPr>
          <w:rFonts w:ascii="Times New Roman" w:hAnsi="Times New Roman"/>
          <w:sz w:val="24"/>
          <w:szCs w:val="24"/>
          <w:lang w:val="lv-LV"/>
        </w:rPr>
      </w:pPr>
      <w:r w:rsidRPr="008E5CE8">
        <w:rPr>
          <w:rFonts w:ascii="Times New Roman" w:eastAsia="Times New Roman" w:hAnsi="Times New Roman"/>
          <w:sz w:val="24"/>
          <w:szCs w:val="24"/>
          <w:lang w:val="lv-LV" w:eastAsia="en-GB"/>
        </w:rPr>
        <w:t xml:space="preserve">Programma izdota </w:t>
      </w:r>
      <w:r w:rsidRPr="008E5CE8">
        <w:rPr>
          <w:rFonts w:ascii="Times New Roman" w:hAnsi="Times New Roman"/>
          <w:sz w:val="24"/>
          <w:szCs w:val="24"/>
          <w:lang w:val="lv-LV"/>
        </w:rPr>
        <w:t xml:space="preserve">sabiedrībai ar ierobežotu atbildību (turpmāk – SIA) “DSG Karjeri”, reģ. Nr. 40003747654, </w:t>
      </w:r>
      <w:r w:rsidRPr="008E5CE8">
        <w:rPr>
          <w:rFonts w:ascii="Times New Roman" w:eastAsia="Times New Roman" w:hAnsi="Times New Roman"/>
          <w:sz w:val="24"/>
          <w:szCs w:val="24"/>
          <w:lang w:val="lv-LV" w:eastAsia="lv-LV"/>
        </w:rPr>
        <w:t xml:space="preserve">juridiskā adrese: Hipokrāta iela 2D, Rīga, LV- 1079, </w:t>
      </w:r>
      <w:r w:rsidRPr="008E5CE8">
        <w:rPr>
          <w:rFonts w:ascii="Times New Roman" w:hAnsi="Times New Roman"/>
          <w:sz w:val="24"/>
          <w:szCs w:val="24"/>
          <w:lang w:val="lv-LV"/>
        </w:rPr>
        <w:t xml:space="preserve">tālrunis 20259587, e-pasts: birojs@dsg-karjeri.lv </w:t>
      </w:r>
      <w:r w:rsidRPr="008E5CE8">
        <w:rPr>
          <w:rFonts w:ascii="Times New Roman" w:hAnsi="Times New Roman"/>
          <w:sz w:val="24"/>
          <w:szCs w:val="24"/>
          <w:shd w:val="clear" w:color="auto" w:fill="FFFFFF"/>
          <w:lang w:val="lv-LV"/>
        </w:rPr>
        <w:t>(</w:t>
      </w:r>
      <w:r w:rsidRPr="008E5CE8">
        <w:rPr>
          <w:rFonts w:ascii="Times New Roman" w:eastAsia="Times New Roman" w:hAnsi="Times New Roman"/>
          <w:sz w:val="24"/>
          <w:szCs w:val="24"/>
          <w:lang w:val="lv-LV"/>
        </w:rPr>
        <w:t>turpmāk – Ierosinātāja).</w:t>
      </w:r>
    </w:p>
    <w:p w14:paraId="024B2951" w14:textId="77777777" w:rsidR="008E5CE8" w:rsidRPr="008E5CE8" w:rsidRDefault="00050D80" w:rsidP="008E5CE8">
      <w:pPr>
        <w:widowControl/>
        <w:tabs>
          <w:tab w:val="left" w:pos="3290"/>
        </w:tabs>
        <w:spacing w:before="24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Programma izstrādāta saskaņā ar likuma </w:t>
      </w:r>
      <w:r w:rsidRPr="008E5CE8">
        <w:rPr>
          <w:rFonts w:ascii="Times New Roman" w:eastAsia="Times New Roman" w:hAnsi="Times New Roman"/>
          <w:iCs/>
          <w:sz w:val="24"/>
          <w:szCs w:val="24"/>
          <w:lang w:val="lv-LV" w:eastAsia="en-GB"/>
        </w:rPr>
        <w:t xml:space="preserve">“Par ietekmes uz vidi novērtējumu” </w:t>
      </w:r>
      <w:r w:rsidRPr="008E5CE8">
        <w:rPr>
          <w:rFonts w:ascii="Times New Roman" w:eastAsia="Times New Roman" w:hAnsi="Times New Roman"/>
          <w:sz w:val="24"/>
          <w:szCs w:val="24"/>
          <w:lang w:val="lv-LV" w:eastAsia="en-GB"/>
        </w:rPr>
        <w:t>(turpmāk – Novērtējuma likums) 16. pantu, 17. panta 1.</w:t>
      </w:r>
      <w:r w:rsidRPr="008E5CE8">
        <w:rPr>
          <w:rFonts w:ascii="Times New Roman" w:eastAsia="Times New Roman" w:hAnsi="Times New Roman"/>
          <w:sz w:val="24"/>
          <w:szCs w:val="24"/>
          <w:vertAlign w:val="superscript"/>
          <w:lang w:val="lv-LV" w:eastAsia="en-GB"/>
        </w:rPr>
        <w:t>1</w:t>
      </w:r>
      <w:r w:rsidRPr="008E5CE8">
        <w:rPr>
          <w:rFonts w:ascii="Times New Roman" w:eastAsia="Times New Roman" w:hAnsi="Times New Roman"/>
          <w:sz w:val="24"/>
          <w:szCs w:val="24"/>
          <w:lang w:val="lv-LV" w:eastAsia="en-GB"/>
        </w:rPr>
        <w:t xml:space="preserve"> daļu un Ministru kabineta 2015. gada 13. janvāra noteikumu Nr. 18 </w:t>
      </w:r>
      <w:r w:rsidRPr="008E5CE8">
        <w:rPr>
          <w:rFonts w:ascii="Times New Roman" w:eastAsia="Times New Roman" w:hAnsi="Times New Roman"/>
          <w:iCs/>
          <w:sz w:val="24"/>
          <w:szCs w:val="24"/>
          <w:lang w:val="lv-LV" w:eastAsia="en-GB"/>
        </w:rPr>
        <w:t xml:space="preserve">“Kārtība, kādā novērtē paredzētās darbības ietekmi uz vidi un akceptē paredzēto darbību” </w:t>
      </w:r>
      <w:r w:rsidRPr="008E5CE8">
        <w:rPr>
          <w:rFonts w:ascii="Times New Roman" w:eastAsia="Times New Roman" w:hAnsi="Times New Roman"/>
          <w:sz w:val="24"/>
          <w:szCs w:val="24"/>
          <w:lang w:val="lv-LV" w:eastAsia="en-GB"/>
        </w:rPr>
        <w:t xml:space="preserve">(turpmāk – Noteikumi Nr. 18) IV nodaļas prasībām, pamatojoties uz </w:t>
      </w:r>
      <w:r w:rsidRPr="008E5CE8">
        <w:rPr>
          <w:rFonts w:ascii="Times New Roman" w:hAnsi="Times New Roman"/>
          <w:sz w:val="24"/>
          <w:szCs w:val="24"/>
          <w:lang w:val="lv-LV"/>
        </w:rPr>
        <w:t xml:space="preserve">SIA “Firma L4”, </w:t>
      </w:r>
      <w:r w:rsidRPr="008E5CE8">
        <w:rPr>
          <w:rFonts w:ascii="Times New Roman" w:eastAsia="Times New Roman" w:hAnsi="Times New Roman"/>
          <w:sz w:val="24"/>
          <w:szCs w:val="24"/>
          <w:lang w:val="lv-LV" w:eastAsia="en-GB"/>
        </w:rPr>
        <w:t>reģistrācijas Nr. 40003236001</w:t>
      </w:r>
      <w:r>
        <w:rPr>
          <w:rFonts w:ascii="Times New Roman" w:eastAsia="Times New Roman" w:hAnsi="Times New Roman"/>
          <w:sz w:val="24"/>
          <w:szCs w:val="24"/>
          <w:vertAlign w:val="superscript"/>
          <w:lang w:val="lv-LV" w:eastAsia="en-GB"/>
        </w:rPr>
        <w:footnoteReference w:id="1"/>
      </w:r>
      <w:r w:rsidRPr="008E5CE8">
        <w:rPr>
          <w:rFonts w:ascii="Times New Roman" w:eastAsia="Times New Roman" w:hAnsi="Times New Roman"/>
          <w:sz w:val="24"/>
          <w:szCs w:val="24"/>
          <w:lang w:val="lv-LV" w:eastAsia="en-GB"/>
        </w:rPr>
        <w:t xml:space="preserve"> (turpmāk – Ierosinātājas pārstāve), 2024. gada 5. jūnija iesniegumu, ar kuru pieprasīta programma ietekmes uz vidi novērtējuma (turpmāk – IVN) veikšanai</w:t>
      </w:r>
      <w:r w:rsidR="001C64EC">
        <w:rPr>
          <w:rFonts w:ascii="Times New Roman" w:eastAsia="Times New Roman" w:hAnsi="Times New Roman"/>
          <w:sz w:val="24"/>
          <w:szCs w:val="24"/>
          <w:lang w:val="lv-LV" w:eastAsia="en-GB"/>
        </w:rPr>
        <w:t xml:space="preserve"> </w:t>
      </w:r>
      <w:r w:rsidRPr="008E5CE8">
        <w:rPr>
          <w:rFonts w:ascii="Times New Roman" w:eastAsia="Times New Roman" w:hAnsi="Times New Roman"/>
          <w:sz w:val="24"/>
          <w:szCs w:val="24"/>
          <w:lang w:val="lv-LV" w:eastAsia="en-GB"/>
        </w:rPr>
        <w:t xml:space="preserve">un iesniegti IVN sākotnējās sabiedriskās apspriešanas materiāli, kā arī institūciju (Dabas aizsardzības pārvaldes </w:t>
      </w:r>
      <w:r w:rsidRPr="008E5CE8">
        <w:rPr>
          <w:rFonts w:ascii="Times New Roman" w:hAnsi="Times New Roman"/>
          <w:bCs/>
          <w:sz w:val="24"/>
          <w:szCs w:val="24"/>
          <w:lang w:val="lv-LV"/>
        </w:rPr>
        <w:t xml:space="preserve">(turpmāk – DAP) </w:t>
      </w:r>
      <w:r w:rsidRPr="008E5CE8">
        <w:rPr>
          <w:rFonts w:ascii="Times New Roman" w:hAnsi="Times New Roman"/>
          <w:noProof/>
          <w:sz w:val="24"/>
          <w:szCs w:val="24"/>
          <w:lang w:val="lv-LV"/>
        </w:rPr>
        <w:t>2024</w:t>
      </w:r>
      <w:r w:rsidRPr="008E5CE8">
        <w:rPr>
          <w:rFonts w:ascii="Times New Roman" w:hAnsi="Times New Roman"/>
          <w:sz w:val="24"/>
          <w:szCs w:val="24"/>
          <w:lang w:val="lv-LV"/>
        </w:rPr>
        <w:t>. gada 17. jūnija vēstule Nr.</w:t>
      </w:r>
      <w:r w:rsidRPr="008E5CE8">
        <w:rPr>
          <w:rFonts w:ascii="Times New Roman" w:hAnsi="Times New Roman"/>
          <w:noProof/>
          <w:sz w:val="24"/>
          <w:szCs w:val="24"/>
          <w:lang w:val="lv-LV"/>
        </w:rPr>
        <w:t>4.9/3746/2024-N)</w:t>
      </w:r>
      <w:r w:rsidRPr="008E5CE8">
        <w:rPr>
          <w:rFonts w:ascii="Times New Roman" w:hAnsi="Times New Roman"/>
          <w:bCs/>
          <w:sz w:val="24"/>
          <w:szCs w:val="24"/>
          <w:lang w:val="lv-LV"/>
        </w:rPr>
        <w:t xml:space="preserve"> </w:t>
      </w:r>
      <w:r w:rsidRPr="008E5CE8">
        <w:rPr>
          <w:rFonts w:ascii="Times New Roman" w:eastAsia="Times New Roman" w:hAnsi="Times New Roman"/>
          <w:sz w:val="24"/>
          <w:szCs w:val="24"/>
          <w:lang w:val="lv-LV" w:eastAsia="en-GB"/>
        </w:rPr>
        <w:t>sniegto viedokli. Programmā ietvertas prasības IVN ziņojumā (turpmāk – Ziņojums) sniedzamās informācijas apjomam un detalizācijas pakāpei, kā arī ietekmes novērtējuma turpmākai veikšanai nepieciešamo pētījumu un organizatorisko pasākumu kopumam.</w:t>
      </w:r>
    </w:p>
    <w:p w14:paraId="187CC499" w14:textId="77777777" w:rsidR="008E5CE8" w:rsidRPr="008E5CE8" w:rsidRDefault="00050D80" w:rsidP="008E5CE8">
      <w:pPr>
        <w:widowControl/>
        <w:numPr>
          <w:ilvl w:val="0"/>
          <w:numId w:val="6"/>
        </w:numPr>
        <w:tabs>
          <w:tab w:val="left" w:pos="3290"/>
        </w:tabs>
        <w:spacing w:before="240" w:after="120" w:line="240" w:lineRule="auto"/>
        <w:ind w:left="426" w:hanging="426"/>
        <w:rPr>
          <w:rFonts w:ascii="Times New Roman" w:eastAsia="Times New Roman" w:hAnsi="Times New Roman"/>
          <w:b/>
          <w:sz w:val="24"/>
          <w:szCs w:val="24"/>
          <w:lang w:val="lv-LV" w:eastAsia="en-GB"/>
        </w:rPr>
      </w:pPr>
      <w:r w:rsidRPr="008E5CE8">
        <w:rPr>
          <w:rFonts w:ascii="Times New Roman" w:eastAsia="Times New Roman" w:hAnsi="Times New Roman"/>
          <w:b/>
          <w:sz w:val="24"/>
          <w:szCs w:val="24"/>
          <w:lang w:val="lv-LV" w:eastAsia="en-GB"/>
        </w:rPr>
        <w:t>Ietekmes uz vidi novērtējuma objekts un sākotnējās sabiedriskās apspriešanas rezultāts:</w:t>
      </w:r>
    </w:p>
    <w:p w14:paraId="058ECF98" w14:textId="77777777" w:rsidR="008E5CE8" w:rsidRPr="008E5CE8" w:rsidRDefault="00050D80" w:rsidP="008E5CE8">
      <w:pPr>
        <w:widowControl/>
        <w:numPr>
          <w:ilvl w:val="0"/>
          <w:numId w:val="5"/>
        </w:numPr>
        <w:tabs>
          <w:tab w:val="left" w:pos="3290"/>
        </w:tabs>
        <w:spacing w:before="240" w:after="120" w:line="240" w:lineRule="auto"/>
        <w:ind w:left="397" w:hanging="397"/>
        <w:jc w:val="both"/>
        <w:rPr>
          <w:rFonts w:ascii="Times New Roman" w:eastAsia="Times New Roman" w:hAnsi="Times New Roman"/>
          <w:sz w:val="24"/>
          <w:szCs w:val="24"/>
          <w:lang w:val="lv-LV"/>
        </w:rPr>
      </w:pPr>
      <w:r w:rsidRPr="008E5CE8">
        <w:rPr>
          <w:rFonts w:ascii="Times New Roman" w:eastAsia="Times New Roman" w:hAnsi="Times New Roman"/>
          <w:sz w:val="24"/>
          <w:szCs w:val="24"/>
          <w:lang w:val="lv-LV"/>
        </w:rPr>
        <w:t>IVN objekts ir</w:t>
      </w:r>
      <w:r w:rsidRPr="008E5CE8">
        <w:rPr>
          <w:rFonts w:ascii="Times New Roman" w:eastAsia="Times New Roman" w:hAnsi="Times New Roman"/>
          <w:bCs/>
          <w:sz w:val="24"/>
          <w:szCs w:val="24"/>
          <w:lang w:val="lv-LV"/>
        </w:rPr>
        <w:t xml:space="preserve"> derīgo izrakteņu (</w:t>
      </w:r>
      <w:r w:rsidRPr="008E5CE8">
        <w:rPr>
          <w:rFonts w:ascii="Times New Roman" w:hAnsi="Times New Roman"/>
          <w:sz w:val="24"/>
          <w:szCs w:val="24"/>
          <w:shd w:val="clear" w:color="auto" w:fill="FFFFFF"/>
          <w:lang w:val="lv-LV" w:eastAsia="lv-LV"/>
        </w:rPr>
        <w:t>dolomīta) ieguve</w:t>
      </w:r>
      <w:r w:rsidRPr="008E5CE8">
        <w:rPr>
          <w:rFonts w:ascii="Times New Roman" w:eastAsia="Times New Roman" w:hAnsi="Times New Roman"/>
          <w:sz w:val="24"/>
          <w:szCs w:val="24"/>
          <w:lang w:val="lv-LV"/>
        </w:rPr>
        <w:t xml:space="preserve"> dolomīta atradnē “Iecava II” (turpmāk – Atradne), nekustama īpašuma “Auniņi” (kadastra Nr. 5478 008 0015) zemes vienībā ar kadastra apzīmējumu 5478 008 0100, Salgales pagastā, Jelgavas novadā (turpmāk – Darbības vieta).</w:t>
      </w:r>
    </w:p>
    <w:p w14:paraId="52BEB290" w14:textId="77777777" w:rsidR="008E5CE8" w:rsidRPr="008E5CE8" w:rsidRDefault="00050D80" w:rsidP="008E5CE8">
      <w:pPr>
        <w:numPr>
          <w:ilvl w:val="0"/>
          <w:numId w:val="5"/>
        </w:numPr>
        <w:tabs>
          <w:tab w:val="left" w:pos="3290"/>
        </w:tabs>
        <w:spacing w:before="120" w:after="120" w:line="240" w:lineRule="auto"/>
        <w:ind w:left="397" w:hanging="397"/>
        <w:jc w:val="both"/>
        <w:rPr>
          <w:rFonts w:ascii="Times New Roman" w:eastAsia="Times New Roman" w:hAnsi="Times New Roman"/>
          <w:sz w:val="24"/>
          <w:szCs w:val="24"/>
          <w:lang w:val="lv-LV"/>
        </w:rPr>
      </w:pPr>
      <w:r w:rsidRPr="008E5CE8">
        <w:rPr>
          <w:rFonts w:ascii="Times New Roman" w:eastAsia="Times New Roman" w:hAnsi="Times New Roman"/>
          <w:sz w:val="24"/>
          <w:szCs w:val="24"/>
          <w:lang w:val="lv-LV"/>
        </w:rPr>
        <w:t xml:space="preserve">IVN Paredzētajai darbībai piemērots ar Vides pārraudzības valsts biroja (turpmāk – Birojs) 2024. gada 6. marta Lēmumu Nr. 5-02-1/11/2023 </w:t>
      </w:r>
      <w:r w:rsidRPr="008E5CE8">
        <w:rPr>
          <w:rFonts w:ascii="Times New Roman" w:eastAsia="Times New Roman" w:hAnsi="Times New Roman"/>
          <w:i/>
          <w:iCs/>
          <w:sz w:val="24"/>
          <w:szCs w:val="24"/>
          <w:lang w:val="lv-LV"/>
        </w:rPr>
        <w:t>par ietekmes uz vidi novērtējuma procedūras piemērošanu</w:t>
      </w:r>
      <w:r w:rsidRPr="008E5CE8">
        <w:rPr>
          <w:rFonts w:ascii="Times New Roman" w:eastAsia="Times New Roman" w:hAnsi="Times New Roman"/>
          <w:sz w:val="24"/>
          <w:szCs w:val="24"/>
          <w:lang w:val="lv-LV"/>
        </w:rPr>
        <w:t>.</w:t>
      </w:r>
    </w:p>
    <w:p w14:paraId="78D52EED" w14:textId="77777777" w:rsidR="008E5CE8" w:rsidRPr="008E5CE8" w:rsidRDefault="00050D80" w:rsidP="008E5CE8">
      <w:pPr>
        <w:numPr>
          <w:ilvl w:val="0"/>
          <w:numId w:val="5"/>
        </w:numPr>
        <w:tabs>
          <w:tab w:val="left" w:pos="3290"/>
        </w:tabs>
        <w:spacing w:before="120" w:after="120" w:line="240" w:lineRule="auto"/>
        <w:ind w:left="397" w:hanging="397"/>
        <w:jc w:val="both"/>
        <w:rPr>
          <w:rFonts w:ascii="Times New Roman" w:eastAsia="Times New Roman" w:hAnsi="Times New Roman"/>
          <w:sz w:val="24"/>
          <w:szCs w:val="24"/>
          <w:lang w:val="lv-LV"/>
        </w:rPr>
      </w:pPr>
      <w:r w:rsidRPr="008E5CE8">
        <w:rPr>
          <w:rFonts w:ascii="Times New Roman" w:eastAsia="Times New Roman" w:hAnsi="Times New Roman"/>
          <w:sz w:val="24"/>
          <w:szCs w:val="24"/>
          <w:lang w:val="lv-LV"/>
        </w:rPr>
        <w:lastRenderedPageBreak/>
        <w:t>Saskaņā ar Ierosinātājas sniegto informāciju:</w:t>
      </w:r>
    </w:p>
    <w:p w14:paraId="25763A87" w14:textId="77777777" w:rsidR="008E5CE8" w:rsidRPr="008E5CE8" w:rsidRDefault="00050D80" w:rsidP="008E5CE8">
      <w:pPr>
        <w:numPr>
          <w:ilvl w:val="1"/>
          <w:numId w:val="5"/>
        </w:numPr>
        <w:tabs>
          <w:tab w:val="left" w:pos="3290"/>
        </w:tabs>
        <w:spacing w:before="120" w:after="120" w:line="240" w:lineRule="auto"/>
        <w:ind w:left="851" w:hanging="567"/>
        <w:jc w:val="both"/>
        <w:rPr>
          <w:rFonts w:ascii="Times New Roman" w:eastAsia="Times New Roman" w:hAnsi="Times New Roman"/>
          <w:sz w:val="24"/>
          <w:szCs w:val="24"/>
          <w:lang w:val="lv-LV"/>
        </w:rPr>
      </w:pPr>
      <w:r w:rsidRPr="008E5CE8">
        <w:rPr>
          <w:rFonts w:ascii="Times New Roman" w:eastAsia="Times New Roman" w:hAnsi="Times New Roman"/>
          <w:sz w:val="24"/>
          <w:szCs w:val="24"/>
          <w:lang w:val="lv-LV"/>
        </w:rPr>
        <w:t>Atradnes</w:t>
      </w:r>
      <w:bookmarkStart w:id="0" w:name="_Hlk153439402"/>
      <w:bookmarkStart w:id="1" w:name="_Hlk153439675"/>
      <w:r w:rsidRPr="008E5CE8">
        <w:rPr>
          <w:rFonts w:ascii="Times New Roman" w:eastAsia="Times New Roman" w:hAnsi="Times New Roman"/>
          <w:sz w:val="24"/>
          <w:szCs w:val="24"/>
          <w:lang w:val="lv-LV"/>
        </w:rPr>
        <w:t xml:space="preserve"> </w:t>
      </w:r>
      <w:r w:rsidRPr="008E5CE8">
        <w:rPr>
          <w:rFonts w:ascii="Times New Roman" w:eastAsia="Times New Roman" w:hAnsi="Times New Roman"/>
          <w:bCs/>
          <w:sz w:val="24"/>
          <w:szCs w:val="24"/>
          <w:lang w:val="lv-LV" w:eastAsia="lv-LV"/>
        </w:rPr>
        <w:t xml:space="preserve">kopējā </w:t>
      </w:r>
      <w:r w:rsidRPr="008E5CE8">
        <w:rPr>
          <w:rFonts w:ascii="Times New Roman" w:eastAsiaTheme="minorHAnsi" w:hAnsi="Times New Roman"/>
          <w:kern w:val="2"/>
          <w:sz w:val="24"/>
          <w:szCs w:val="24"/>
          <w:lang w:val="lv-LV"/>
          <w14:ligatures w14:val="standardContextual"/>
        </w:rPr>
        <w:t xml:space="preserve">platība ir </w:t>
      </w:r>
      <w:r w:rsidRPr="008E5CE8">
        <w:rPr>
          <w:rFonts w:ascii="Times New Roman" w:hAnsi="Times New Roman"/>
          <w:sz w:val="24"/>
          <w:szCs w:val="24"/>
          <w:shd w:val="clear" w:color="auto" w:fill="FFFFFF"/>
          <w:lang w:val="lv-LV"/>
        </w:rPr>
        <w:t>37,35 ha</w:t>
      </w:r>
      <w:r w:rsidRPr="008E5CE8">
        <w:rPr>
          <w:rFonts w:ascii="Times New Roman" w:eastAsiaTheme="minorHAnsi" w:hAnsi="Times New Roman"/>
          <w:kern w:val="2"/>
          <w:sz w:val="24"/>
          <w:szCs w:val="24"/>
          <w:lang w:val="lv-LV"/>
          <w14:ligatures w14:val="standardContextual"/>
        </w:rPr>
        <w:t xml:space="preserve">, kurā </w:t>
      </w:r>
      <w:r w:rsidRPr="008E5CE8">
        <w:rPr>
          <w:rFonts w:ascii="Times New Roman" w:eastAsia="Times New Roman" w:hAnsi="Times New Roman"/>
          <w:kern w:val="2"/>
          <w:sz w:val="24"/>
          <w:szCs w:val="24"/>
          <w:shd w:val="clear" w:color="auto" w:fill="FFFFFF"/>
          <w:lang w:val="lv-LV"/>
          <w14:ligatures w14:val="standardContextual"/>
        </w:rPr>
        <w:t xml:space="preserve">aprēķināti </w:t>
      </w:r>
      <w:r w:rsidRPr="008E5CE8">
        <w:rPr>
          <w:rFonts w:ascii="Times New Roman" w:eastAsiaTheme="minorHAnsi" w:hAnsi="Times New Roman"/>
          <w:kern w:val="2"/>
          <w:sz w:val="24"/>
          <w:szCs w:val="24"/>
          <w:lang w:val="lv-LV"/>
          <w14:ligatures w14:val="standardContextual"/>
        </w:rPr>
        <w:t>1979,76 </w:t>
      </w:r>
      <w:bookmarkStart w:id="2" w:name="_Hlk160452612"/>
      <w:r w:rsidRPr="008E5CE8">
        <w:rPr>
          <w:rFonts w:ascii="Times New Roman" w:eastAsia="Times New Roman" w:hAnsi="Times New Roman"/>
          <w:kern w:val="2"/>
          <w:sz w:val="24"/>
          <w:szCs w:val="24"/>
          <w:shd w:val="clear" w:color="auto" w:fill="FFFFFF"/>
          <w:lang w:val="lv-LV"/>
          <w14:ligatures w14:val="standardContextual"/>
        </w:rPr>
        <w:t>tūkst. m</w:t>
      </w:r>
      <w:r w:rsidRPr="008E5CE8">
        <w:rPr>
          <w:rFonts w:ascii="Times New Roman" w:eastAsia="Times New Roman" w:hAnsi="Times New Roman"/>
          <w:kern w:val="2"/>
          <w:sz w:val="24"/>
          <w:szCs w:val="24"/>
          <w:shd w:val="clear" w:color="auto" w:fill="FFFFFF"/>
          <w:vertAlign w:val="superscript"/>
          <w:lang w:val="lv-LV"/>
          <w14:ligatures w14:val="standardContextual"/>
        </w:rPr>
        <w:t>3</w:t>
      </w:r>
      <w:r w:rsidRPr="008E5CE8">
        <w:rPr>
          <w:rFonts w:ascii="Times New Roman" w:eastAsia="Times New Roman" w:hAnsi="Times New Roman"/>
          <w:kern w:val="2"/>
          <w:sz w:val="24"/>
          <w:szCs w:val="24"/>
          <w:shd w:val="clear" w:color="auto" w:fill="FFFFFF"/>
          <w:lang w:val="lv-LV"/>
          <w14:ligatures w14:val="standardContextual"/>
        </w:rPr>
        <w:t xml:space="preserve"> </w:t>
      </w:r>
      <w:bookmarkEnd w:id="2"/>
      <w:r w:rsidRPr="008E5CE8">
        <w:rPr>
          <w:rFonts w:ascii="Times New Roman" w:eastAsia="Times New Roman" w:hAnsi="Times New Roman"/>
          <w:kern w:val="2"/>
          <w:sz w:val="24"/>
          <w:szCs w:val="24"/>
          <w:shd w:val="clear" w:color="auto" w:fill="FFFFFF"/>
          <w:lang w:val="lv-LV"/>
          <w14:ligatures w14:val="standardContextual"/>
        </w:rPr>
        <w:t>A kategorijas derīgo izrakteņu krājumi</w:t>
      </w:r>
      <w:r w:rsidRPr="008E5CE8">
        <w:rPr>
          <w:rFonts w:ascii="Times New Roman" w:eastAsia="Times New Roman" w:hAnsi="Times New Roman"/>
          <w:kern w:val="2"/>
          <w:sz w:val="24"/>
          <w:szCs w:val="24"/>
          <w:shd w:val="clear" w:color="auto" w:fill="FFFFFF"/>
          <w:vertAlign w:val="superscript"/>
          <w:lang w:val="lv-LV"/>
          <w14:ligatures w14:val="standardContextual"/>
        </w:rPr>
        <w:t xml:space="preserve"> </w:t>
      </w:r>
      <w:r w:rsidRPr="008E5CE8">
        <w:rPr>
          <w:rFonts w:ascii="Times New Roman" w:eastAsia="Times New Roman" w:hAnsi="Times New Roman"/>
          <w:kern w:val="2"/>
          <w:sz w:val="24"/>
          <w:szCs w:val="24"/>
          <w:shd w:val="clear" w:color="auto" w:fill="FFFFFF"/>
          <w:lang w:val="lv-LV"/>
          <w14:ligatures w14:val="standardContextual"/>
        </w:rPr>
        <w:t>(t. sk. zem gruntsūdens līmeņa 1415,72 tūkst. m</w:t>
      </w:r>
      <w:r w:rsidRPr="008E5CE8">
        <w:rPr>
          <w:rFonts w:ascii="Times New Roman" w:eastAsia="Times New Roman" w:hAnsi="Times New Roman"/>
          <w:kern w:val="2"/>
          <w:sz w:val="24"/>
          <w:szCs w:val="24"/>
          <w:shd w:val="clear" w:color="auto" w:fill="FFFFFF"/>
          <w:vertAlign w:val="superscript"/>
          <w:lang w:val="lv-LV"/>
          <w14:ligatures w14:val="standardContextual"/>
        </w:rPr>
        <w:t>3</w:t>
      </w:r>
      <w:r w:rsidRPr="008E5CE8">
        <w:rPr>
          <w:rFonts w:ascii="Times New Roman" w:eastAsia="Times New Roman" w:hAnsi="Times New Roman"/>
          <w:kern w:val="2"/>
          <w:sz w:val="24"/>
          <w:szCs w:val="24"/>
          <w:shd w:val="clear" w:color="auto" w:fill="FFFFFF"/>
          <w:lang w:val="lv-LV"/>
          <w14:ligatures w14:val="standardContextual"/>
        </w:rPr>
        <w:t>)</w:t>
      </w:r>
      <w:r>
        <w:rPr>
          <w:rFonts w:ascii="Times New Roman" w:eastAsia="Times New Roman" w:hAnsi="Times New Roman"/>
          <w:kern w:val="2"/>
          <w:sz w:val="24"/>
          <w:szCs w:val="24"/>
          <w:shd w:val="clear" w:color="auto" w:fill="FFFFFF"/>
          <w:vertAlign w:val="superscript"/>
          <w:lang w:val="lv-LV"/>
          <w14:ligatures w14:val="standardContextual"/>
        </w:rPr>
        <w:footnoteReference w:id="2"/>
      </w:r>
      <w:r w:rsidRPr="008E5CE8">
        <w:rPr>
          <w:rFonts w:ascii="Times New Roman" w:eastAsia="Times New Roman" w:hAnsi="Times New Roman"/>
          <w:kern w:val="2"/>
          <w:sz w:val="24"/>
          <w:szCs w:val="24"/>
          <w:shd w:val="clear" w:color="auto" w:fill="FFFFFF"/>
          <w:lang w:val="lv-LV"/>
          <w14:ligatures w14:val="standardContextual"/>
        </w:rPr>
        <w:t>.</w:t>
      </w:r>
      <w:r w:rsidRPr="008E5CE8">
        <w:rPr>
          <w:rFonts w:ascii="Times New Roman" w:eastAsiaTheme="minorHAnsi" w:hAnsi="Times New Roman"/>
          <w:kern w:val="2"/>
          <w:sz w:val="24"/>
          <w:szCs w:val="24"/>
          <w:lang w:val="lv-LV"/>
          <w14:ligatures w14:val="standardContextual"/>
        </w:rPr>
        <w:t xml:space="preserve"> Kopējais derīgo izrakteņu ieguves laukums vēl nav zināms. </w:t>
      </w:r>
      <w:r w:rsidRPr="008E5CE8">
        <w:rPr>
          <w:rFonts w:ascii="Times New Roman" w:eastAsia="Times New Roman" w:hAnsi="Times New Roman"/>
          <w:bCs/>
          <w:sz w:val="24"/>
          <w:szCs w:val="24"/>
          <w:lang w:val="lv-LV" w:eastAsia="lv-LV"/>
        </w:rPr>
        <w:t>Dolomīta slāņa biezums Atradnē ir no 3,7 m līdz 6,6 m (vidēji 5,3 m).</w:t>
      </w:r>
      <w:r w:rsidRPr="008E5CE8">
        <w:rPr>
          <w:rFonts w:ascii="Times New Roman" w:eastAsia="Times New Roman" w:hAnsi="Times New Roman"/>
          <w:kern w:val="2"/>
          <w:sz w:val="24"/>
          <w:szCs w:val="24"/>
          <w:shd w:val="clear" w:color="auto" w:fill="FFFFFF"/>
          <w:lang w:val="lv-LV"/>
          <w14:ligatures w14:val="standardContextual"/>
        </w:rPr>
        <w:t xml:space="preserve"> </w:t>
      </w:r>
      <w:r w:rsidRPr="008E5CE8">
        <w:rPr>
          <w:rFonts w:ascii="Times New Roman" w:hAnsi="Times New Roman"/>
          <w:bCs/>
          <w:sz w:val="24"/>
          <w:szCs w:val="24"/>
          <w:lang w:val="lv-LV"/>
        </w:rPr>
        <w:t xml:space="preserve">Ieguves apjoms un intensitāte būs atkarīga no materiāla pieprasījumā reģionā, bet vidēji gadā </w:t>
      </w:r>
      <w:r w:rsidRPr="008E5CE8">
        <w:rPr>
          <w:rFonts w:ascii="Times New Roman" w:eastAsia="Times New Roman" w:hAnsi="Times New Roman"/>
          <w:bCs/>
          <w:sz w:val="24"/>
          <w:szCs w:val="24"/>
          <w:lang w:val="lv-LV" w:eastAsia="lv-LV"/>
        </w:rPr>
        <w:t>plānots iegūt</w:t>
      </w:r>
      <w:r w:rsidRPr="008E5CE8">
        <w:rPr>
          <w:rFonts w:ascii="Times New Roman" w:hAnsi="Times New Roman"/>
          <w:bCs/>
          <w:sz w:val="24"/>
          <w:szCs w:val="24"/>
          <w:lang w:val="lv-LV"/>
        </w:rPr>
        <w:t xml:space="preserve"> aptuveni no 100 tūkst. m</w:t>
      </w:r>
      <w:r w:rsidRPr="008E5CE8">
        <w:rPr>
          <w:rFonts w:ascii="Times New Roman" w:hAnsi="Times New Roman"/>
          <w:bCs/>
          <w:sz w:val="24"/>
          <w:szCs w:val="24"/>
          <w:vertAlign w:val="superscript"/>
          <w:lang w:val="lv-LV"/>
        </w:rPr>
        <w:t>3</w:t>
      </w:r>
      <w:r w:rsidRPr="008E5CE8">
        <w:rPr>
          <w:rFonts w:ascii="Times New Roman" w:hAnsi="Times New Roman"/>
          <w:bCs/>
          <w:sz w:val="24"/>
          <w:szCs w:val="24"/>
          <w:lang w:val="lv-LV"/>
        </w:rPr>
        <w:t xml:space="preserve"> līdz 150 tūkst. m</w:t>
      </w:r>
      <w:r w:rsidRPr="008E5CE8">
        <w:rPr>
          <w:rFonts w:ascii="Times New Roman" w:hAnsi="Times New Roman"/>
          <w:bCs/>
          <w:sz w:val="24"/>
          <w:szCs w:val="24"/>
          <w:vertAlign w:val="superscript"/>
          <w:lang w:val="lv-LV"/>
        </w:rPr>
        <w:t>3</w:t>
      </w:r>
      <w:r w:rsidRPr="008E5CE8">
        <w:rPr>
          <w:rFonts w:ascii="Times New Roman" w:hAnsi="Times New Roman"/>
          <w:bCs/>
          <w:sz w:val="24"/>
          <w:szCs w:val="24"/>
          <w:lang w:val="lv-LV"/>
        </w:rPr>
        <w:t xml:space="preserve"> gadā</w:t>
      </w:r>
      <w:r w:rsidRPr="008E5CE8">
        <w:rPr>
          <w:rFonts w:ascii="Times New Roman" w:eastAsia="Times New Roman" w:hAnsi="Times New Roman"/>
          <w:bCs/>
          <w:sz w:val="24"/>
          <w:szCs w:val="24"/>
          <w:lang w:val="lv-LV" w:eastAsia="lv-LV"/>
        </w:rPr>
        <w:t xml:space="preserve"> </w:t>
      </w:r>
      <w:r w:rsidRPr="008E5CE8">
        <w:rPr>
          <w:rFonts w:ascii="Times New Roman" w:eastAsia="Times New Roman" w:hAnsi="Times New Roman"/>
          <w:sz w:val="24"/>
          <w:szCs w:val="24"/>
          <w:lang w:val="lv-LV"/>
        </w:rPr>
        <w:t>derīgo izrakteņu.</w:t>
      </w:r>
      <w:bookmarkEnd w:id="0"/>
      <w:bookmarkEnd w:id="1"/>
    </w:p>
    <w:p w14:paraId="43B00D68" w14:textId="77777777" w:rsidR="008E5CE8" w:rsidRPr="008E5CE8" w:rsidRDefault="00050D80" w:rsidP="008E5CE8">
      <w:pPr>
        <w:numPr>
          <w:ilvl w:val="1"/>
          <w:numId w:val="5"/>
        </w:numPr>
        <w:tabs>
          <w:tab w:val="left" w:pos="3290"/>
        </w:tabs>
        <w:spacing w:before="120" w:after="120" w:line="240" w:lineRule="auto"/>
        <w:ind w:left="851" w:hanging="567"/>
        <w:jc w:val="both"/>
        <w:rPr>
          <w:rFonts w:ascii="Times New Roman" w:eastAsia="Times New Roman" w:hAnsi="Times New Roman"/>
          <w:sz w:val="24"/>
          <w:szCs w:val="24"/>
          <w:lang w:val="lv-LV"/>
        </w:rPr>
      </w:pPr>
      <w:r w:rsidRPr="008E5CE8">
        <w:rPr>
          <w:rFonts w:ascii="Times New Roman" w:eastAsia="Times New Roman" w:hAnsi="Times New Roman"/>
          <w:bCs/>
          <w:sz w:val="24"/>
          <w:szCs w:val="24"/>
          <w:lang w:val="lv-LV" w:eastAsia="lv-LV"/>
        </w:rPr>
        <w:t>Dolom</w:t>
      </w:r>
      <w:r w:rsidRPr="008E5CE8">
        <w:rPr>
          <w:rFonts w:ascii="Times New Roman" w:eastAsiaTheme="minorHAnsi" w:hAnsi="Times New Roman"/>
          <w:bCs/>
          <w:sz w:val="24"/>
          <w:szCs w:val="24"/>
          <w:lang w:val="lv-LV" w:eastAsia="lv-LV"/>
        </w:rPr>
        <w:t>īta</w:t>
      </w:r>
      <w:r w:rsidRPr="008E5CE8">
        <w:rPr>
          <w:rFonts w:ascii="Times New Roman" w:eastAsiaTheme="minorHAnsi" w:hAnsi="Times New Roman"/>
          <w:kern w:val="2"/>
          <w:sz w:val="24"/>
          <w:szCs w:val="24"/>
          <w:lang w:val="lv-LV" w:eastAsia="lv-LV"/>
          <w14:ligatures w14:val="standardContextual"/>
        </w:rPr>
        <w:t xml:space="preserve"> ieguvi plānots veikt virs un zem gruntsūdens līmeņa, izmantojot spridzināšanas metodi</w:t>
      </w:r>
      <w:r w:rsidRPr="008E5CE8">
        <w:rPr>
          <w:rFonts w:ascii="Times New Roman" w:eastAsia="Times New Roman" w:hAnsi="Times New Roman"/>
          <w:sz w:val="24"/>
          <w:szCs w:val="24"/>
          <w:lang w:val="lv-LV" w:eastAsia="ar-SA"/>
        </w:rPr>
        <w:t xml:space="preserve"> kā alternatīva IVN procesā tiks izvērtēta iespēja ieguvi veikt izmantojot drupināšanas metodi. </w:t>
      </w:r>
      <w:r w:rsidRPr="008E5CE8">
        <w:rPr>
          <w:rFonts w:ascii="Times New Roman" w:eastAsiaTheme="minorHAnsi" w:hAnsi="Times New Roman"/>
          <w:kern w:val="2"/>
          <w:sz w:val="24"/>
          <w:szCs w:val="24"/>
          <w:lang w:val="lv-LV" w:eastAsia="lv-LV"/>
          <w14:ligatures w14:val="standardContextual"/>
        </w:rPr>
        <w:t xml:space="preserve">Kāples vidējais augstums prognozēts ~ 5 m, </w:t>
      </w:r>
      <w:r w:rsidRPr="008E5CE8">
        <w:rPr>
          <w:rFonts w:ascii="Times New Roman" w:hAnsi="Times New Roman"/>
          <w:sz w:val="24"/>
          <w:szCs w:val="24"/>
          <w:lang w:val="lv-LV"/>
        </w:rPr>
        <w:t>atsevišķās vietās, kur dolomīta biezums ir lielāks līdz 7 m</w:t>
      </w:r>
      <w:r w:rsidRPr="008E5CE8">
        <w:rPr>
          <w:rFonts w:ascii="Times New Roman" w:eastAsiaTheme="minorHAnsi" w:hAnsi="Times New Roman"/>
          <w:kern w:val="2"/>
          <w:sz w:val="24"/>
          <w:szCs w:val="24"/>
          <w:lang w:val="lv-LV" w:eastAsia="lv-LV"/>
          <w14:ligatures w14:val="standardContextual"/>
        </w:rPr>
        <w:t>. Darbības vietā t</w:t>
      </w:r>
      <w:r w:rsidRPr="008E5CE8">
        <w:rPr>
          <w:rFonts w:ascii="Times New Roman" w:eastAsia="Times New Roman" w:hAnsi="Times New Roman"/>
          <w:kern w:val="2"/>
          <w:sz w:val="24"/>
          <w:szCs w:val="24"/>
          <w:lang w:val="lv-LV"/>
          <w14:ligatures w14:val="standardContextual"/>
        </w:rPr>
        <w:t xml:space="preserve">iek plānots veikt derīgā materiāla drupināšanu un skalošanu. </w:t>
      </w:r>
      <w:r w:rsidRPr="008E5CE8">
        <w:rPr>
          <w:rFonts w:ascii="Times New Roman" w:hAnsi="Times New Roman"/>
          <w:bCs/>
          <w:sz w:val="24"/>
          <w:szCs w:val="24"/>
          <w:lang w:val="lv-LV"/>
        </w:rPr>
        <w:t>Darbības vietā paredzēts ierīkot slēgta cikla mazgāšanas līniju, kura sastāvēs no pakavveida dīķa un mazgāšanas iekārtas.</w:t>
      </w:r>
      <w:r w:rsidRPr="008E5CE8">
        <w:rPr>
          <w:rFonts w:ascii="Times New Roman" w:hAnsi="Times New Roman"/>
          <w:sz w:val="24"/>
          <w:szCs w:val="24"/>
          <w:lang w:val="lv-LV"/>
        </w:rPr>
        <w:t xml:space="preserve"> Dolomīta ieguves darbu veikšanai paredzēts veikt pazemes ūdens līmeņa pazemināšanu. Lai novadītu pazemes ūdeņus, dolomīta paslānī paredzēts ierīkot savācējgrāvjus pa kuriem ūdens tiks novadīts uz savācējbedri (zumfu). No zumfa, izmantojot ūdens sūkni, ūdens tiks novadīts uz nosēddīķiem nostādināšanai,</w:t>
      </w:r>
      <w:r w:rsidRPr="008E5CE8">
        <w:rPr>
          <w:rFonts w:ascii="Times New Roman" w:eastAsia="Times New Roman" w:hAnsi="Times New Roman"/>
          <w:bCs/>
          <w:kern w:val="2"/>
          <w:sz w:val="24"/>
          <w:szCs w:val="24"/>
          <w:lang w:val="lv-LV"/>
          <w14:ligatures w14:val="standardContextual"/>
        </w:rPr>
        <w:t xml:space="preserve"> tad ūdeni plānots </w:t>
      </w:r>
      <w:r w:rsidRPr="008E5CE8">
        <w:rPr>
          <w:rFonts w:ascii="Times New Roman" w:hAnsi="Times New Roman"/>
          <w:bCs/>
          <w:sz w:val="24"/>
          <w:szCs w:val="24"/>
          <w:lang w:val="lv-LV"/>
        </w:rPr>
        <w:t>novadīt pa meliorācijas grāvjiem uz Sidrabenītes upi</w:t>
      </w:r>
      <w:r w:rsidRPr="008E5CE8">
        <w:rPr>
          <w:rFonts w:ascii="Times New Roman" w:eastAsia="Times New Roman" w:hAnsi="Times New Roman"/>
          <w:bCs/>
          <w:kern w:val="2"/>
          <w:sz w:val="24"/>
          <w:szCs w:val="24"/>
          <w:lang w:val="lv-LV"/>
          <w14:ligatures w14:val="standardContextual"/>
        </w:rPr>
        <w:t xml:space="preserve">, </w:t>
      </w:r>
      <w:r w:rsidRPr="008E5CE8">
        <w:rPr>
          <w:rFonts w:ascii="Times New Roman" w:eastAsia="Times New Roman" w:hAnsi="Times New Roman"/>
          <w:sz w:val="24"/>
          <w:szCs w:val="24"/>
          <w:lang w:val="lv-LV" w:eastAsia="ar-SA"/>
        </w:rPr>
        <w:t xml:space="preserve">kā alternatīva tiks izvērtēta iespēja tos novadīt izstrādātajā karjera daļā. </w:t>
      </w:r>
      <w:r w:rsidRPr="008E5CE8">
        <w:rPr>
          <w:rFonts w:ascii="Times New Roman" w:hAnsi="Times New Roman"/>
          <w:sz w:val="24"/>
          <w:szCs w:val="24"/>
          <w:lang w:val="lv-LV"/>
        </w:rPr>
        <w:t>Pēc Atradnes izstrādes Darbības vietu paredzēts rekultivēt, izveidojot ūdenstilpnes.</w:t>
      </w:r>
    </w:p>
    <w:p w14:paraId="53FF29BE" w14:textId="77777777" w:rsidR="008E5CE8" w:rsidRPr="008E5CE8" w:rsidRDefault="00050D80" w:rsidP="008E5CE8">
      <w:pPr>
        <w:numPr>
          <w:ilvl w:val="1"/>
          <w:numId w:val="5"/>
        </w:numPr>
        <w:tabs>
          <w:tab w:val="left" w:pos="3290"/>
        </w:tabs>
        <w:spacing w:before="120" w:after="120" w:line="240" w:lineRule="auto"/>
        <w:ind w:left="851" w:hanging="567"/>
        <w:jc w:val="both"/>
        <w:rPr>
          <w:rFonts w:ascii="Times New Roman" w:eastAsia="Times New Roman" w:hAnsi="Times New Roman"/>
          <w:sz w:val="24"/>
          <w:szCs w:val="24"/>
          <w:lang w:val="lv-LV"/>
        </w:rPr>
      </w:pPr>
      <w:r w:rsidRPr="008E5CE8">
        <w:rPr>
          <w:rFonts w:ascii="Times New Roman" w:eastAsia="Times New Roman" w:hAnsi="Times New Roman"/>
          <w:kern w:val="2"/>
          <w:sz w:val="24"/>
          <w:szCs w:val="24"/>
          <w:lang w:val="lv-LV" w:eastAsia="lv-LV"/>
          <w14:ligatures w14:val="standardContextual"/>
        </w:rPr>
        <w:t>Iegūtā materiāla transportēšanai paredzēts izmantot pašvaldības autoceļu “</w:t>
      </w:r>
      <w:r w:rsidRPr="008E5CE8">
        <w:rPr>
          <w:rFonts w:ascii="Times New Roman" w:hAnsi="Times New Roman"/>
          <w:bCs/>
          <w:i/>
          <w:iCs/>
          <w:sz w:val="24"/>
          <w:szCs w:val="24"/>
          <w:lang w:val="lv-LV"/>
        </w:rPr>
        <w:t>Cits ceļš”</w:t>
      </w:r>
      <w:r>
        <w:rPr>
          <w:rFonts w:ascii="Times New Roman" w:hAnsi="Times New Roman"/>
          <w:bCs/>
          <w:i/>
          <w:iCs/>
          <w:sz w:val="24"/>
          <w:szCs w:val="24"/>
          <w:vertAlign w:val="superscript"/>
          <w:lang w:val="lv-LV"/>
        </w:rPr>
        <w:footnoteReference w:id="3"/>
      </w:r>
      <w:r w:rsidRPr="008E5CE8">
        <w:rPr>
          <w:rFonts w:ascii="Times New Roman" w:hAnsi="Times New Roman"/>
          <w:bCs/>
          <w:i/>
          <w:iCs/>
          <w:sz w:val="24"/>
          <w:szCs w:val="24"/>
          <w:lang w:val="lv-LV"/>
        </w:rPr>
        <w:t>,</w:t>
      </w:r>
      <w:r w:rsidRPr="008E5CE8">
        <w:rPr>
          <w:rFonts w:ascii="Times New Roman" w:eastAsia="Times New Roman" w:hAnsi="Times New Roman"/>
          <w:i/>
          <w:iCs/>
          <w:sz w:val="24"/>
          <w:szCs w:val="24"/>
          <w:lang w:val="lv-LV"/>
        </w:rPr>
        <w:t xml:space="preserve"> </w:t>
      </w:r>
      <w:r w:rsidRPr="008E5CE8">
        <w:rPr>
          <w:rFonts w:ascii="Times New Roman" w:eastAsia="Times New Roman" w:hAnsi="Times New Roman"/>
          <w:sz w:val="24"/>
          <w:szCs w:val="24"/>
          <w:lang w:val="lv-LV"/>
        </w:rPr>
        <w:t xml:space="preserve">pašvaldības autoceļu </w:t>
      </w:r>
      <w:r w:rsidRPr="008E5CE8">
        <w:rPr>
          <w:rFonts w:ascii="Times New Roman" w:eastAsia="Times New Roman" w:hAnsi="Times New Roman"/>
          <w:i/>
          <w:iCs/>
          <w:sz w:val="24"/>
          <w:szCs w:val="24"/>
          <w:lang w:val="lv-LV"/>
        </w:rPr>
        <w:t>Auniņu ceļu</w:t>
      </w:r>
      <w:r>
        <w:rPr>
          <w:rFonts w:ascii="Times New Roman" w:eastAsia="Times New Roman" w:hAnsi="Times New Roman"/>
          <w:sz w:val="24"/>
          <w:szCs w:val="24"/>
          <w:vertAlign w:val="superscript"/>
          <w:lang w:val="lv-LV"/>
        </w:rPr>
        <w:footnoteReference w:id="4"/>
      </w:r>
      <w:r w:rsidRPr="008E5CE8">
        <w:rPr>
          <w:rFonts w:ascii="Times New Roman" w:eastAsia="Times New Roman" w:hAnsi="Times New Roman"/>
          <w:sz w:val="24"/>
          <w:szCs w:val="24"/>
          <w:lang w:val="lv-LV"/>
        </w:rPr>
        <w:t xml:space="preserve">, pašvaldības autoceļu </w:t>
      </w:r>
      <w:r w:rsidRPr="008E5CE8">
        <w:rPr>
          <w:rFonts w:ascii="Times New Roman" w:eastAsia="Times New Roman" w:hAnsi="Times New Roman"/>
          <w:i/>
          <w:iCs/>
          <w:sz w:val="24"/>
          <w:szCs w:val="24"/>
          <w:lang w:val="lv-LV"/>
        </w:rPr>
        <w:t>Oļas - Akmenscūciņas</w:t>
      </w:r>
      <w:r w:rsidRPr="008E5CE8">
        <w:rPr>
          <w:rFonts w:ascii="Times New Roman" w:hAnsi="Times New Roman"/>
          <w:bCs/>
          <w:sz w:val="24"/>
          <w:szCs w:val="24"/>
          <w:lang w:val="lv-LV"/>
        </w:rPr>
        <w:t>, valsts vietējo autoceļu V1045 </w:t>
      </w:r>
      <w:r w:rsidRPr="008E5CE8">
        <w:rPr>
          <w:rFonts w:ascii="Times New Roman" w:hAnsi="Times New Roman"/>
          <w:bCs/>
          <w:i/>
          <w:iCs/>
          <w:sz w:val="24"/>
          <w:szCs w:val="24"/>
          <w:lang w:val="lv-LV"/>
        </w:rPr>
        <w:t xml:space="preserve">Zālīte – Akmenscūciņas – Staļģene </w:t>
      </w:r>
      <w:r w:rsidRPr="008E5CE8">
        <w:rPr>
          <w:rFonts w:ascii="Times New Roman" w:hAnsi="Times New Roman"/>
          <w:bCs/>
          <w:sz w:val="24"/>
          <w:szCs w:val="24"/>
          <w:lang w:val="lv-LV"/>
        </w:rPr>
        <w:t>(turpmāk – Autoceļš V1045)</w:t>
      </w:r>
      <w:r w:rsidRPr="008E5CE8">
        <w:rPr>
          <w:rFonts w:ascii="Times New Roman" w:hAnsi="Times New Roman"/>
          <w:bCs/>
          <w:i/>
          <w:iCs/>
          <w:sz w:val="24"/>
          <w:szCs w:val="24"/>
          <w:lang w:val="lv-LV"/>
        </w:rPr>
        <w:t xml:space="preserve"> </w:t>
      </w:r>
      <w:r w:rsidRPr="008E5CE8">
        <w:rPr>
          <w:rFonts w:ascii="Times New Roman" w:eastAsia="Times New Roman" w:hAnsi="Times New Roman"/>
          <w:sz w:val="24"/>
          <w:szCs w:val="24"/>
          <w:lang w:val="lv-LV" w:eastAsia="en-GB"/>
        </w:rPr>
        <w:t xml:space="preserve">un valsts vietējo autoceļu V1008 </w:t>
      </w:r>
      <w:r w:rsidRPr="008E5CE8">
        <w:rPr>
          <w:rFonts w:ascii="Times New Roman" w:eastAsia="Times New Roman" w:hAnsi="Times New Roman"/>
          <w:i/>
          <w:iCs/>
          <w:sz w:val="24"/>
          <w:szCs w:val="24"/>
          <w:lang w:val="lv-LV" w:eastAsia="en-GB"/>
        </w:rPr>
        <w:t xml:space="preserve">Iecava -Emburga </w:t>
      </w:r>
      <w:r w:rsidRPr="008E5CE8">
        <w:rPr>
          <w:rFonts w:ascii="Times New Roman" w:hAnsi="Times New Roman"/>
          <w:bCs/>
          <w:sz w:val="24"/>
          <w:szCs w:val="24"/>
          <w:lang w:val="lv-LV"/>
        </w:rPr>
        <w:t>(turpmāk – Autoceļš V1008).</w:t>
      </w:r>
    </w:p>
    <w:p w14:paraId="7EF14B7D" w14:textId="77777777" w:rsidR="008E5CE8" w:rsidRPr="008E5CE8" w:rsidRDefault="00050D80" w:rsidP="008E5CE8">
      <w:pPr>
        <w:widowControl/>
        <w:numPr>
          <w:ilvl w:val="1"/>
          <w:numId w:val="5"/>
        </w:numPr>
        <w:tabs>
          <w:tab w:val="left" w:pos="3290"/>
        </w:tabs>
        <w:spacing w:before="120" w:after="120" w:line="240" w:lineRule="auto"/>
        <w:ind w:left="851" w:hanging="567"/>
        <w:jc w:val="both"/>
        <w:rPr>
          <w:rFonts w:ascii="Times New Roman" w:hAnsi="Times New Roman"/>
          <w:sz w:val="24"/>
          <w:szCs w:val="24"/>
          <w:lang w:val="lv-LV"/>
        </w:rPr>
      </w:pPr>
      <w:r w:rsidRPr="008E5CE8">
        <w:rPr>
          <w:rFonts w:ascii="Times New Roman" w:eastAsia="Times New Roman" w:hAnsi="Times New Roman"/>
          <w:bCs/>
          <w:sz w:val="24"/>
          <w:szCs w:val="24"/>
          <w:lang w:val="lv-LV"/>
        </w:rPr>
        <w:t>Darbības</w:t>
      </w:r>
      <w:r w:rsidRPr="008E5CE8">
        <w:rPr>
          <w:rFonts w:ascii="Times New Roman" w:eastAsia="Times New Roman" w:hAnsi="Times New Roman"/>
          <w:sz w:val="24"/>
          <w:szCs w:val="24"/>
          <w:lang w:val="lv-LV"/>
        </w:rPr>
        <w:t xml:space="preserve"> vietai tuvākās viensētas ir viensēta “Viesturi” ~ 320 m attālumā uz R, viensēta “Lejaskraukļi” ~ 700 m attālumā uz R, viensētas “Kažas” un “Stirnu Čukates (Koči)” ~ 1100 m attālumā uz DA, viensēta “Spēlmaņi”, “Stabukrogs”, “Stabi, “Leitīši”, “Lejas Kaspari”, “Kaspari” ~ 1100 m attālumā uz D, viensēta “Oļas” ~ 1100 m attālumā uz DR no </w:t>
      </w:r>
      <w:r w:rsidRPr="008E5CE8">
        <w:rPr>
          <w:rFonts w:ascii="Times New Roman" w:eastAsiaTheme="minorHAnsi" w:hAnsi="Times New Roman"/>
          <w:kern w:val="2"/>
          <w:sz w:val="24"/>
          <w:szCs w:val="24"/>
          <w:lang w:val="lv-LV"/>
          <w14:ligatures w14:val="standardContextual"/>
        </w:rPr>
        <w:t xml:space="preserve">Darbības vietas. </w:t>
      </w:r>
    </w:p>
    <w:p w14:paraId="09EA0914" w14:textId="77777777" w:rsidR="008E5CE8" w:rsidRPr="008E5CE8" w:rsidRDefault="00050D80" w:rsidP="008E5CE8">
      <w:pPr>
        <w:widowControl/>
        <w:numPr>
          <w:ilvl w:val="1"/>
          <w:numId w:val="5"/>
        </w:numPr>
        <w:tabs>
          <w:tab w:val="left" w:pos="3290"/>
        </w:tabs>
        <w:spacing w:before="120" w:after="120" w:line="240" w:lineRule="auto"/>
        <w:ind w:left="851" w:hanging="567"/>
        <w:jc w:val="both"/>
        <w:rPr>
          <w:rFonts w:ascii="Times New Roman" w:eastAsia="Times New Roman" w:hAnsi="Times New Roman"/>
          <w:kern w:val="2"/>
          <w:sz w:val="24"/>
          <w:szCs w:val="24"/>
          <w:lang w:val="lv-LV" w:eastAsia="lv-LV"/>
          <w14:ligatures w14:val="standardContextual"/>
        </w:rPr>
      </w:pPr>
      <w:r w:rsidRPr="008E5CE8">
        <w:rPr>
          <w:rFonts w:ascii="Times New Roman" w:eastAsia="Times New Roman" w:hAnsi="Times New Roman"/>
          <w:bCs/>
          <w:sz w:val="24"/>
          <w:szCs w:val="24"/>
          <w:lang w:val="lv-LV"/>
        </w:rPr>
        <w:t>Tuvākā</w:t>
      </w:r>
      <w:r w:rsidRPr="008E5CE8">
        <w:rPr>
          <w:rFonts w:ascii="Times New Roman" w:eastAsia="Times New Roman" w:hAnsi="Times New Roman"/>
          <w:sz w:val="24"/>
          <w:szCs w:val="24"/>
          <w:lang w:val="lv-LV"/>
        </w:rPr>
        <w:t xml:space="preserve"> virszemes ūdenstece ir </w:t>
      </w:r>
      <w:r w:rsidRPr="008E5CE8">
        <w:rPr>
          <w:rFonts w:ascii="Times New Roman" w:hAnsi="Times New Roman"/>
          <w:bCs/>
          <w:sz w:val="24"/>
          <w:szCs w:val="24"/>
          <w:lang w:val="lv-LV"/>
        </w:rPr>
        <w:t>up</w:t>
      </w:r>
      <w:r w:rsidRPr="008E5CE8">
        <w:rPr>
          <w:rFonts w:ascii="Times New Roman" w:eastAsia="Times New Roman" w:hAnsi="Times New Roman"/>
          <w:sz w:val="24"/>
          <w:szCs w:val="24"/>
          <w:lang w:val="lv-LV" w:eastAsia="ar-SA"/>
        </w:rPr>
        <w:t>e </w:t>
      </w:r>
      <w:r w:rsidRPr="008E5CE8">
        <w:rPr>
          <w:rFonts w:ascii="Times New Roman" w:hAnsi="Times New Roman"/>
          <w:bCs/>
          <w:sz w:val="24"/>
          <w:szCs w:val="24"/>
          <w:lang w:val="lv-LV"/>
        </w:rPr>
        <w:t>Sidrabenīte</w:t>
      </w:r>
      <w:r w:rsidRPr="008E5CE8">
        <w:rPr>
          <w:rFonts w:ascii="Times New Roman" w:eastAsia="Times New Roman" w:hAnsi="Times New Roman"/>
          <w:sz w:val="24"/>
          <w:szCs w:val="24"/>
          <w:lang w:val="lv-LV" w:eastAsia="ar-SA"/>
        </w:rPr>
        <w:t xml:space="preserve"> ~0,45 km uz DR </w:t>
      </w:r>
      <w:r w:rsidRPr="008E5CE8">
        <w:rPr>
          <w:rFonts w:ascii="Times New Roman" w:eastAsia="Times New Roman" w:hAnsi="Times New Roman"/>
          <w:sz w:val="24"/>
          <w:szCs w:val="24"/>
          <w:lang w:val="lv-LV"/>
        </w:rPr>
        <w:t xml:space="preserve">no </w:t>
      </w:r>
      <w:r w:rsidRPr="008E5CE8">
        <w:rPr>
          <w:rFonts w:ascii="Times New Roman" w:eastAsiaTheme="minorHAnsi" w:hAnsi="Times New Roman"/>
          <w:kern w:val="2"/>
          <w:sz w:val="24"/>
          <w:szCs w:val="24"/>
          <w:lang w:val="lv-LV"/>
          <w14:ligatures w14:val="standardContextual"/>
        </w:rPr>
        <w:t>Darbības vietas</w:t>
      </w:r>
      <w:r w:rsidRPr="008E5CE8">
        <w:rPr>
          <w:rFonts w:ascii="Times New Roman" w:eastAsia="Times New Roman" w:hAnsi="Times New Roman"/>
          <w:sz w:val="24"/>
          <w:szCs w:val="24"/>
          <w:lang w:val="lv-LV" w:eastAsia="ar-SA"/>
        </w:rPr>
        <w:t>.</w:t>
      </w:r>
    </w:p>
    <w:p w14:paraId="726AF1BF" w14:textId="77777777" w:rsidR="008E5CE8" w:rsidRPr="008E5CE8" w:rsidRDefault="00050D80" w:rsidP="008E5CE8">
      <w:pPr>
        <w:widowControl/>
        <w:numPr>
          <w:ilvl w:val="0"/>
          <w:numId w:val="5"/>
        </w:numPr>
        <w:tabs>
          <w:tab w:val="left" w:pos="3290"/>
        </w:tabs>
        <w:spacing w:before="120" w:after="120" w:line="240" w:lineRule="auto"/>
        <w:ind w:left="397" w:hanging="397"/>
        <w:jc w:val="both"/>
        <w:rPr>
          <w:rFonts w:ascii="Times New Roman" w:eastAsia="Times New Roman" w:hAnsi="Times New Roman"/>
          <w:kern w:val="2"/>
          <w:sz w:val="24"/>
          <w:szCs w:val="24"/>
          <w:lang w:val="lv-LV" w:eastAsia="lv-LV"/>
          <w14:ligatures w14:val="standardContextual"/>
        </w:rPr>
      </w:pPr>
      <w:r w:rsidRPr="008E5CE8">
        <w:rPr>
          <w:rFonts w:ascii="Times New Roman" w:hAnsi="Times New Roman"/>
          <w:bCs/>
          <w:sz w:val="24"/>
          <w:szCs w:val="24"/>
          <w:lang w:val="lv-LV"/>
        </w:rPr>
        <w:t>Saskaņā ar DAP dabas datu pārvaldības sistēmā (turpmāk – DDPS) “OZOLS”</w:t>
      </w:r>
      <w:r>
        <w:rPr>
          <w:rFonts w:ascii="Times New Roman" w:hAnsi="Times New Roman"/>
          <w:sz w:val="24"/>
          <w:szCs w:val="24"/>
          <w:vertAlign w:val="superscript"/>
          <w:lang w:val="lv-LV"/>
        </w:rPr>
        <w:footnoteReference w:id="5"/>
      </w:r>
      <w:r w:rsidRPr="008E5CE8">
        <w:rPr>
          <w:rFonts w:ascii="Times New Roman" w:hAnsi="Times New Roman"/>
          <w:bCs/>
          <w:sz w:val="24"/>
          <w:szCs w:val="24"/>
          <w:lang w:val="lv-LV"/>
        </w:rPr>
        <w:t xml:space="preserve"> pieejamo informāciju</w:t>
      </w:r>
      <w:r w:rsidRPr="008E5CE8">
        <w:rPr>
          <w:rFonts w:ascii="Times New Roman" w:hAnsi="Times New Roman"/>
          <w:sz w:val="24"/>
          <w:szCs w:val="24"/>
          <w:lang w:val="lv-LV"/>
        </w:rPr>
        <w:t xml:space="preserve"> </w:t>
      </w:r>
      <w:r w:rsidRPr="008E5CE8">
        <w:rPr>
          <w:rFonts w:ascii="Times New Roman" w:hAnsi="Times New Roman"/>
          <w:sz w:val="24"/>
          <w:szCs w:val="24"/>
          <w:lang w:val="lv-LV" w:eastAsia="lv-LV"/>
        </w:rPr>
        <w:t xml:space="preserve">Darbības vieta neatrodas īpaši aizsargājamā dabas teritorijā vai mikroliegumā, tai skaitā Eiropas nozīmes aizsargājamā dabas teritorijā (turpmāk – </w:t>
      </w:r>
      <w:r w:rsidRPr="008E5CE8">
        <w:rPr>
          <w:rFonts w:ascii="Times New Roman" w:hAnsi="Times New Roman"/>
          <w:i/>
          <w:iCs/>
          <w:sz w:val="24"/>
          <w:szCs w:val="24"/>
          <w:lang w:val="lv-LV"/>
        </w:rPr>
        <w:t>Natura 2000</w:t>
      </w:r>
      <w:r w:rsidRPr="008E5CE8">
        <w:rPr>
          <w:rFonts w:ascii="Times New Roman" w:hAnsi="Times New Roman"/>
          <w:sz w:val="24"/>
          <w:szCs w:val="24"/>
          <w:lang w:val="lv-LV" w:eastAsia="lv-LV"/>
        </w:rPr>
        <w:t xml:space="preserve">), kā arī nerobežojas ar tām. </w:t>
      </w:r>
      <w:r w:rsidRPr="008E5CE8">
        <w:rPr>
          <w:rFonts w:ascii="Times New Roman" w:eastAsia="Times New Roman" w:hAnsi="Times New Roman"/>
          <w:kern w:val="2"/>
          <w:sz w:val="24"/>
          <w:szCs w:val="24"/>
          <w:lang w:val="lv-LV" w:eastAsia="lv-LV"/>
          <w14:ligatures w14:val="standardContextual"/>
        </w:rPr>
        <w:t xml:space="preserve">Tuvākie dabas pieminekļi - aizsargājamie koki </w:t>
      </w:r>
      <w:r w:rsidRPr="008E5CE8">
        <w:rPr>
          <w:rFonts w:ascii="Times New Roman" w:hAnsi="Times New Roman"/>
          <w:sz w:val="24"/>
          <w:szCs w:val="24"/>
          <w:lang w:val="lv-LV"/>
        </w:rPr>
        <w:t xml:space="preserve">- parastā priede atrodas 0,37 km attālumā uz R, savukārt parastais ozols atrodas 0,75 km attāluma uz D no </w:t>
      </w:r>
      <w:r w:rsidRPr="008E5CE8">
        <w:rPr>
          <w:rFonts w:ascii="Times New Roman" w:eastAsiaTheme="minorHAnsi" w:hAnsi="Times New Roman"/>
          <w:kern w:val="2"/>
          <w:sz w:val="24"/>
          <w:szCs w:val="24"/>
          <w:lang w:val="lv-LV"/>
          <w14:ligatures w14:val="standardContextual"/>
        </w:rPr>
        <w:t>Darbības vietas</w:t>
      </w:r>
      <w:r w:rsidRPr="008E5CE8">
        <w:rPr>
          <w:rFonts w:ascii="Times New Roman" w:hAnsi="Times New Roman"/>
          <w:sz w:val="24"/>
          <w:szCs w:val="24"/>
          <w:lang w:val="lv-LV"/>
        </w:rPr>
        <w:t>.</w:t>
      </w:r>
      <w:r w:rsidRPr="008E5CE8">
        <w:rPr>
          <w:rFonts w:ascii="Times New Roman" w:eastAsia="Times New Roman" w:hAnsi="Times New Roman"/>
          <w:kern w:val="2"/>
          <w:sz w:val="24"/>
          <w:szCs w:val="24"/>
          <w:lang w:val="lv-LV" w:eastAsia="lv-LV"/>
          <w14:ligatures w14:val="standardContextual"/>
        </w:rPr>
        <w:t xml:space="preserve"> Atbilstoši DDPS “OZOLS” Darbības vietā ir īpaši aizsargājamais biotops 9020* </w:t>
      </w:r>
      <w:r w:rsidRPr="008E5CE8">
        <w:rPr>
          <w:rFonts w:ascii="Times New Roman" w:eastAsia="Times New Roman" w:hAnsi="Times New Roman"/>
          <w:i/>
          <w:iCs/>
          <w:kern w:val="2"/>
          <w:sz w:val="24"/>
          <w:szCs w:val="24"/>
          <w:lang w:val="lv-LV" w:eastAsia="lv-LV"/>
          <w14:ligatures w14:val="standardContextual"/>
        </w:rPr>
        <w:t>Veci jaukti platlapju meži</w:t>
      </w:r>
      <w:r w:rsidRPr="008E5CE8">
        <w:rPr>
          <w:rFonts w:ascii="Times New Roman" w:eastAsia="Times New Roman" w:hAnsi="Times New Roman"/>
          <w:kern w:val="2"/>
          <w:sz w:val="24"/>
          <w:szCs w:val="24"/>
          <w:lang w:val="lv-LV" w:eastAsia="lv-LV"/>
          <w14:ligatures w14:val="standardContextual"/>
        </w:rPr>
        <w:t xml:space="preserve">, savukārt Ierosinātājas </w:t>
      </w:r>
      <w:r w:rsidRPr="008E5CE8">
        <w:rPr>
          <w:rFonts w:ascii="Times New Roman" w:eastAsia="Times New Roman" w:hAnsi="Times New Roman"/>
          <w:sz w:val="24"/>
          <w:szCs w:val="24"/>
          <w:lang w:val="lv-LV" w:eastAsia="lv-LV"/>
        </w:rPr>
        <w:t xml:space="preserve">2024. gada 16. februāra </w:t>
      </w:r>
      <w:r w:rsidRPr="008E5CE8">
        <w:rPr>
          <w:rFonts w:ascii="Times New Roman" w:eastAsia="Times New Roman" w:hAnsi="Times New Roman"/>
          <w:kern w:val="2"/>
          <w:sz w:val="24"/>
          <w:szCs w:val="24"/>
          <w:lang w:val="lv-LV" w:eastAsia="lv-LV"/>
          <w14:ligatures w14:val="standardContextual"/>
        </w:rPr>
        <w:t>iesniegumā</w:t>
      </w:r>
      <w:r>
        <w:rPr>
          <w:rFonts w:ascii="Times New Roman" w:eastAsia="Times New Roman" w:hAnsi="Times New Roman"/>
          <w:kern w:val="2"/>
          <w:sz w:val="24"/>
          <w:szCs w:val="24"/>
          <w:vertAlign w:val="superscript"/>
          <w:lang w:val="lv-LV" w:eastAsia="lv-LV"/>
          <w14:ligatures w14:val="standardContextual"/>
        </w:rPr>
        <w:footnoteReference w:id="6"/>
      </w:r>
      <w:r w:rsidRPr="008E5CE8">
        <w:rPr>
          <w:rFonts w:ascii="Times New Roman" w:eastAsia="Times New Roman" w:hAnsi="Times New Roman"/>
          <w:kern w:val="2"/>
          <w:sz w:val="24"/>
          <w:szCs w:val="24"/>
          <w:lang w:val="lv-LV" w:eastAsia="lv-LV"/>
          <w14:ligatures w14:val="standardContextual"/>
        </w:rPr>
        <w:t xml:space="preserve"> norādīts, ka biotopa laukums dabā vairs neatrodas, bet ir izcirtums.</w:t>
      </w:r>
      <w:r w:rsidRPr="008E5CE8">
        <w:rPr>
          <w:rFonts w:ascii="Times New Roman" w:eastAsiaTheme="minorHAnsi" w:hAnsi="Times New Roman"/>
          <w:kern w:val="2"/>
          <w:sz w:val="24"/>
          <w:szCs w:val="24"/>
          <w:lang w:val="lv-LV"/>
          <w14:ligatures w14:val="standardContextual"/>
        </w:rPr>
        <w:t xml:space="preserve"> Darbības vietai</w:t>
      </w:r>
      <w:r w:rsidRPr="008E5CE8">
        <w:rPr>
          <w:rFonts w:ascii="Times New Roman" w:hAnsi="Times New Roman"/>
          <w:sz w:val="24"/>
          <w:szCs w:val="24"/>
          <w:lang w:val="lv-LV"/>
        </w:rPr>
        <w:t xml:space="preserve"> tuvākie īpaši </w:t>
      </w:r>
      <w:r w:rsidRPr="008E5CE8">
        <w:rPr>
          <w:rFonts w:ascii="Times New Roman" w:hAnsi="Times New Roman"/>
          <w:sz w:val="24"/>
          <w:szCs w:val="24"/>
          <w:lang w:val="lv-LV"/>
        </w:rPr>
        <w:lastRenderedPageBreak/>
        <w:t xml:space="preserve">aizsargājami biotopi – </w:t>
      </w:r>
      <w:r w:rsidRPr="008E5CE8">
        <w:rPr>
          <w:rFonts w:ascii="Times New Roman" w:eastAsia="Times New Roman" w:hAnsi="Times New Roman"/>
          <w:kern w:val="2"/>
          <w:sz w:val="24"/>
          <w:szCs w:val="24"/>
          <w:lang w:val="lv-LV" w:eastAsia="lv-LV"/>
          <w14:ligatures w14:val="standardContextual"/>
        </w:rPr>
        <w:t>9010*</w:t>
      </w:r>
      <w:r w:rsidRPr="008E5CE8">
        <w:rPr>
          <w:rFonts w:ascii="Times New Roman" w:hAnsi="Times New Roman"/>
          <w:sz w:val="24"/>
          <w:szCs w:val="24"/>
          <w:lang w:val="lv-LV"/>
        </w:rPr>
        <w:t xml:space="preserve"> </w:t>
      </w:r>
      <w:r w:rsidRPr="008E5CE8">
        <w:rPr>
          <w:rFonts w:ascii="Times New Roman" w:hAnsi="Times New Roman"/>
          <w:i/>
          <w:iCs/>
          <w:sz w:val="24"/>
          <w:szCs w:val="24"/>
          <w:lang w:val="lv-LV"/>
        </w:rPr>
        <w:t>Veci vai dabiski boreāli meži</w:t>
      </w:r>
      <w:r w:rsidRPr="008E5CE8">
        <w:rPr>
          <w:rFonts w:ascii="Times New Roman" w:hAnsi="Times New Roman"/>
          <w:sz w:val="24"/>
          <w:szCs w:val="24"/>
          <w:lang w:val="lv-LV"/>
        </w:rPr>
        <w:t xml:space="preserve"> un </w:t>
      </w:r>
      <w:r w:rsidRPr="008E5CE8">
        <w:rPr>
          <w:rFonts w:ascii="Times New Roman" w:eastAsia="Times New Roman" w:hAnsi="Times New Roman"/>
          <w:kern w:val="2"/>
          <w:sz w:val="24"/>
          <w:szCs w:val="24"/>
          <w:lang w:val="lv-LV" w:eastAsia="lv-LV"/>
          <w14:ligatures w14:val="standardContextual"/>
        </w:rPr>
        <w:t xml:space="preserve">9020* </w:t>
      </w:r>
      <w:r w:rsidRPr="008E5CE8">
        <w:rPr>
          <w:rFonts w:ascii="Times New Roman" w:eastAsia="Times New Roman" w:hAnsi="Times New Roman"/>
          <w:i/>
          <w:iCs/>
          <w:kern w:val="2"/>
          <w:sz w:val="24"/>
          <w:szCs w:val="24"/>
          <w:lang w:val="lv-LV" w:eastAsia="lv-LV"/>
          <w14:ligatures w14:val="standardContextual"/>
        </w:rPr>
        <w:t>Veci jaukti platlapju meži</w:t>
      </w:r>
      <w:r w:rsidRPr="008E5CE8">
        <w:rPr>
          <w:rFonts w:ascii="Times New Roman" w:hAnsi="Times New Roman"/>
          <w:sz w:val="24"/>
          <w:szCs w:val="24"/>
          <w:lang w:val="lv-LV"/>
        </w:rPr>
        <w:t xml:space="preserve"> atrodas ~ 0,1 km attālumā uz A, bet īpaši aizsargājamie biotopu laukumi 9160 </w:t>
      </w:r>
      <w:r w:rsidRPr="008E5CE8">
        <w:rPr>
          <w:rFonts w:ascii="Times New Roman" w:hAnsi="Times New Roman"/>
          <w:i/>
          <w:iCs/>
          <w:sz w:val="24"/>
          <w:szCs w:val="24"/>
          <w:lang w:val="lv-LV"/>
        </w:rPr>
        <w:t xml:space="preserve">Ozolu meži (ozolu, liepu un skābaržu meži) </w:t>
      </w:r>
      <w:r w:rsidRPr="008E5CE8">
        <w:rPr>
          <w:rFonts w:ascii="Times New Roman" w:hAnsi="Times New Roman"/>
          <w:sz w:val="24"/>
          <w:szCs w:val="24"/>
          <w:lang w:val="lv-LV"/>
        </w:rPr>
        <w:t>un 9050 </w:t>
      </w:r>
      <w:r w:rsidRPr="008E5CE8">
        <w:rPr>
          <w:rFonts w:ascii="Times New Roman" w:hAnsi="Times New Roman"/>
          <w:i/>
          <w:iCs/>
          <w:sz w:val="24"/>
          <w:szCs w:val="24"/>
          <w:lang w:val="lv-LV"/>
        </w:rPr>
        <w:t xml:space="preserve">Lakstaugiem bagāti egļu meži </w:t>
      </w:r>
      <w:r w:rsidRPr="008E5CE8">
        <w:rPr>
          <w:rFonts w:ascii="Times New Roman" w:hAnsi="Times New Roman"/>
          <w:sz w:val="24"/>
          <w:szCs w:val="24"/>
          <w:lang w:val="lv-LV"/>
        </w:rPr>
        <w:t>~ 0,4 km attālumā uz A no Darbības vietas.</w:t>
      </w:r>
    </w:p>
    <w:p w14:paraId="0BC9100B" w14:textId="77777777" w:rsidR="008E5CE8" w:rsidRPr="008E5CE8" w:rsidRDefault="00050D80" w:rsidP="008E5CE8">
      <w:pPr>
        <w:widowControl/>
        <w:numPr>
          <w:ilvl w:val="0"/>
          <w:numId w:val="5"/>
        </w:numPr>
        <w:tabs>
          <w:tab w:val="left" w:pos="3290"/>
        </w:tabs>
        <w:spacing w:before="120" w:after="120" w:line="240" w:lineRule="auto"/>
        <w:ind w:left="397" w:hanging="397"/>
        <w:jc w:val="both"/>
        <w:rPr>
          <w:rFonts w:ascii="Times New Roman" w:hAnsi="Times New Roman"/>
          <w:sz w:val="24"/>
          <w:szCs w:val="24"/>
          <w:lang w:val="lv-LV"/>
        </w:rPr>
      </w:pPr>
      <w:r w:rsidRPr="008E5CE8">
        <w:rPr>
          <w:rFonts w:ascii="Times New Roman" w:hAnsi="Times New Roman"/>
          <w:bCs/>
          <w:sz w:val="24"/>
          <w:szCs w:val="24"/>
          <w:lang w:val="lv-LV"/>
        </w:rPr>
        <w:t>Saskaņā ar Nacionālās kultūras mantojuma pārvaldes tīmekļvietnē</w:t>
      </w:r>
      <w:r>
        <w:rPr>
          <w:rFonts w:ascii="Times New Roman" w:hAnsi="Times New Roman"/>
          <w:bCs/>
          <w:sz w:val="24"/>
          <w:szCs w:val="24"/>
          <w:vertAlign w:val="superscript"/>
          <w:lang w:val="lv-LV"/>
        </w:rPr>
        <w:footnoteReference w:id="7"/>
      </w:r>
      <w:r w:rsidRPr="008E5CE8">
        <w:rPr>
          <w:rFonts w:ascii="Times New Roman" w:hAnsi="Times New Roman"/>
          <w:bCs/>
          <w:sz w:val="24"/>
          <w:szCs w:val="24"/>
          <w:lang w:val="lv-LV"/>
        </w:rPr>
        <w:t xml:space="preserve"> pieejamo informāciju Darbības vieta </w:t>
      </w:r>
      <w:r w:rsidRPr="008E5CE8">
        <w:rPr>
          <w:rFonts w:ascii="Times New Roman" w:hAnsi="Times New Roman"/>
          <w:sz w:val="24"/>
          <w:szCs w:val="24"/>
          <w:lang w:val="lv-LV"/>
        </w:rPr>
        <w:t>n</w:t>
      </w:r>
      <w:r w:rsidRPr="008E5CE8">
        <w:rPr>
          <w:rFonts w:ascii="Times New Roman" w:hAnsi="Times New Roman"/>
          <w:sz w:val="24"/>
          <w:szCs w:val="24"/>
          <w:lang w:val="lv-LV" w:eastAsia="lv-LV"/>
        </w:rPr>
        <w:t xml:space="preserve">eatrodas kultūras pieminekļu teritorijā vai to aizsargjoslā, kā arī nerobežojas ar tām. </w:t>
      </w:r>
      <w:r w:rsidRPr="008E5CE8">
        <w:rPr>
          <w:rFonts w:ascii="Times New Roman" w:eastAsia="Times New Roman" w:hAnsi="Times New Roman"/>
          <w:sz w:val="24"/>
          <w:szCs w:val="24"/>
          <w:lang w:val="lv-LV" w:eastAsia="ar-SA"/>
        </w:rPr>
        <w:t>Tuvākais</w:t>
      </w:r>
      <w:r w:rsidRPr="008E5CE8">
        <w:rPr>
          <w:rFonts w:ascii="Times New Roman" w:hAnsi="Times New Roman"/>
          <w:sz w:val="24"/>
          <w:szCs w:val="24"/>
          <w:lang w:val="lv-LV"/>
        </w:rPr>
        <w:t xml:space="preserve"> kultūrvēsturiskais objekts - reģiona nozīmes kultūras piemineklis “Pūķu senkapi” (objekta aizsardzības Nr. 1014) atrodas ~ 2,1 km attālumā uz D no Atradnes teritorijas.</w:t>
      </w:r>
    </w:p>
    <w:p w14:paraId="3B793FF3" w14:textId="77777777" w:rsidR="008E5CE8" w:rsidRPr="008E5CE8" w:rsidRDefault="00050D80" w:rsidP="008E5CE8">
      <w:pPr>
        <w:widowControl/>
        <w:numPr>
          <w:ilvl w:val="0"/>
          <w:numId w:val="5"/>
        </w:numPr>
        <w:tabs>
          <w:tab w:val="left" w:pos="3290"/>
        </w:tabs>
        <w:spacing w:before="120" w:after="120" w:line="240" w:lineRule="auto"/>
        <w:ind w:left="397" w:hanging="397"/>
        <w:jc w:val="both"/>
        <w:rPr>
          <w:rFonts w:ascii="Times New Roman" w:eastAsiaTheme="minorHAnsi" w:hAnsi="Times New Roman"/>
          <w:kern w:val="2"/>
          <w:sz w:val="24"/>
          <w:szCs w:val="24"/>
          <w:lang w:val="lv-LV"/>
          <w14:ligatures w14:val="standardContextual"/>
        </w:rPr>
      </w:pPr>
      <w:r w:rsidRPr="008E5CE8">
        <w:rPr>
          <w:rFonts w:ascii="Times New Roman" w:eastAsia="Times New Roman" w:hAnsi="Times New Roman"/>
          <w:sz w:val="24"/>
          <w:szCs w:val="24"/>
          <w:lang w:val="lv-LV" w:eastAsia="ar-SA"/>
        </w:rPr>
        <w:t>Atradne</w:t>
      </w:r>
      <w:r w:rsidRPr="008E5CE8">
        <w:rPr>
          <w:rFonts w:ascii="Times New Roman" w:hAnsi="Times New Roman"/>
          <w:sz w:val="24"/>
          <w:szCs w:val="24"/>
          <w:lang w:val="lv-LV"/>
        </w:rPr>
        <w:t xml:space="preserve"> robežojas ar derīgo izrakteņu atradni “Iecava”, kurā dolomīta ieguvi veic Ierosinātāja un VAS “Latvijas autoceļu uzturētājs”. Ierosinātāja derīgo izrakteņu ieguvi veic 23,170 ha platībā (Ieguves licences Nr. 8/307), savukārt VAS “Latvijas autoceļu uzturētājs” derīgo izrakteņu ieguvi veic 35,017 ha platībā (Ieguves licences Nr. CS14ZD0505). Atbilstoši Ierosinātājas sniegtajai informācijai, derīgo izrakteņu ieguvi Atradnē plānots uzsākt pēc derīgo izrakteņu ieguves pabeigšanas atradnē “Iecava”.</w:t>
      </w:r>
    </w:p>
    <w:p w14:paraId="359731D5" w14:textId="77777777" w:rsidR="008E5CE8" w:rsidRPr="008E5CE8" w:rsidRDefault="00050D80" w:rsidP="008E5CE8">
      <w:pPr>
        <w:widowControl/>
        <w:numPr>
          <w:ilvl w:val="0"/>
          <w:numId w:val="5"/>
        </w:numPr>
        <w:tabs>
          <w:tab w:val="left" w:pos="3290"/>
        </w:tabs>
        <w:spacing w:before="120" w:after="120" w:line="240" w:lineRule="auto"/>
        <w:ind w:left="397" w:hanging="397"/>
        <w:jc w:val="both"/>
        <w:rPr>
          <w:rFonts w:ascii="Times New Roman" w:eastAsiaTheme="minorHAnsi" w:hAnsi="Times New Roman"/>
          <w:kern w:val="2"/>
          <w:sz w:val="24"/>
          <w:szCs w:val="24"/>
          <w:lang w:val="lv-LV"/>
          <w14:ligatures w14:val="standardContextual"/>
        </w:rPr>
      </w:pPr>
      <w:r w:rsidRPr="008E5CE8">
        <w:rPr>
          <w:rFonts w:ascii="Times New Roman" w:eastAsia="Times New Roman" w:hAnsi="Times New Roman"/>
          <w:kern w:val="2"/>
          <w:sz w:val="24"/>
          <w:szCs w:val="24"/>
          <w:shd w:val="clear" w:color="auto" w:fill="FFFFFF"/>
          <w:lang w:val="lv-LV"/>
          <w14:ligatures w14:val="standardContextual"/>
        </w:rPr>
        <w:t>Saskaņā</w:t>
      </w:r>
      <w:r w:rsidRPr="008E5CE8">
        <w:rPr>
          <w:rFonts w:ascii="Times New Roman" w:eastAsia="Times New Roman" w:hAnsi="Times New Roman"/>
          <w:kern w:val="2"/>
          <w:sz w:val="24"/>
          <w:szCs w:val="24"/>
          <w:shd w:val="clear" w:color="auto" w:fill="FFFFFF"/>
          <w:lang w:val="lv-LV" w:eastAsia="lv-LV"/>
          <w14:ligatures w14:val="standardContextual"/>
        </w:rPr>
        <w:t xml:space="preserve"> ar spēkā esošo </w:t>
      </w:r>
      <w:r w:rsidRPr="008E5CE8">
        <w:rPr>
          <w:rFonts w:ascii="Times New Roman" w:eastAsia="Times New Roman" w:hAnsi="Times New Roman"/>
          <w:kern w:val="2"/>
          <w:sz w:val="24"/>
          <w:szCs w:val="24"/>
          <w:shd w:val="clear" w:color="auto" w:fill="FFFFFF"/>
          <w:lang w:val="lv-LV"/>
          <w14:ligatures w14:val="standardContextual"/>
        </w:rPr>
        <w:t xml:space="preserve">Ozolnieku </w:t>
      </w:r>
      <w:r w:rsidRPr="008E5CE8">
        <w:rPr>
          <w:rFonts w:ascii="Times New Roman" w:eastAsia="Times New Roman" w:hAnsi="Times New Roman"/>
          <w:kern w:val="2"/>
          <w:sz w:val="24"/>
          <w:szCs w:val="24"/>
          <w:shd w:val="clear" w:color="auto" w:fill="FFFFFF"/>
          <w:lang w:val="lv-LV" w:eastAsia="lv-LV"/>
          <w14:ligatures w14:val="standardContextual"/>
        </w:rPr>
        <w:t>novada</w:t>
      </w:r>
      <w:r>
        <w:rPr>
          <w:rFonts w:ascii="Times New Roman" w:eastAsia="Times New Roman" w:hAnsi="Times New Roman"/>
          <w:kern w:val="2"/>
          <w:sz w:val="24"/>
          <w:szCs w:val="24"/>
          <w:shd w:val="clear" w:color="auto" w:fill="FFFFFF"/>
          <w:vertAlign w:val="superscript"/>
          <w:lang w:val="lv-LV" w:eastAsia="lv-LV"/>
          <w14:ligatures w14:val="standardContextual"/>
        </w:rPr>
        <w:footnoteReference w:id="8"/>
      </w:r>
      <w:r w:rsidRPr="008E5CE8">
        <w:rPr>
          <w:rFonts w:ascii="Times New Roman" w:eastAsia="Times New Roman" w:hAnsi="Times New Roman"/>
          <w:kern w:val="2"/>
          <w:sz w:val="24"/>
          <w:szCs w:val="24"/>
          <w:shd w:val="clear" w:color="auto" w:fill="FFFFFF"/>
          <w:lang w:val="lv-LV" w:eastAsia="lv-LV"/>
          <w14:ligatures w14:val="standardContextual"/>
        </w:rPr>
        <w:t xml:space="preserve"> teritorijas plānojumu</w:t>
      </w:r>
      <w:r>
        <w:rPr>
          <w:rFonts w:ascii="Times New Roman" w:eastAsiaTheme="minorHAnsi" w:hAnsi="Times New Roman"/>
          <w:kern w:val="2"/>
          <w:sz w:val="24"/>
          <w:szCs w:val="24"/>
          <w:vertAlign w:val="superscript"/>
          <w:lang w:val="lv-LV"/>
          <w14:ligatures w14:val="standardContextual"/>
        </w:rPr>
        <w:footnoteReference w:id="9"/>
      </w:r>
      <w:r w:rsidRPr="008E5CE8">
        <w:rPr>
          <w:rFonts w:ascii="Times New Roman" w:eastAsia="Times New Roman" w:hAnsi="Times New Roman"/>
          <w:kern w:val="2"/>
          <w:sz w:val="24"/>
          <w:szCs w:val="24"/>
          <w:shd w:val="clear" w:color="auto" w:fill="FFFFFF"/>
          <w:lang w:val="lv-LV" w:eastAsia="lv-LV"/>
          <w14:ligatures w14:val="standardContextual"/>
        </w:rPr>
        <w:t xml:space="preserve"> (turpmāk - Teritorijas plānojums), </w:t>
      </w:r>
      <w:r w:rsidRPr="008E5CE8">
        <w:rPr>
          <w:rFonts w:ascii="Times New Roman" w:eastAsia="Times New Roman" w:hAnsi="Times New Roman"/>
          <w:bCs/>
          <w:sz w:val="24"/>
          <w:szCs w:val="24"/>
          <w:lang w:val="lv-LV" w:eastAsia="lv-LV"/>
        </w:rPr>
        <w:t>Atradnes</w:t>
      </w:r>
      <w:r w:rsidRPr="008E5CE8">
        <w:rPr>
          <w:rFonts w:ascii="Times New Roman" w:eastAsiaTheme="minorHAnsi" w:hAnsi="Times New Roman"/>
          <w:bCs/>
          <w:kern w:val="2"/>
          <w:sz w:val="24"/>
          <w:szCs w:val="24"/>
          <w:lang w:val="lv-LV" w:eastAsia="lv-LV"/>
          <w14:ligatures w14:val="standardContextual"/>
        </w:rPr>
        <w:t xml:space="preserve"> </w:t>
      </w:r>
      <w:r w:rsidRPr="008E5CE8">
        <w:rPr>
          <w:rFonts w:ascii="Times New Roman" w:eastAsia="Times New Roman" w:hAnsi="Times New Roman"/>
          <w:kern w:val="2"/>
          <w:sz w:val="24"/>
          <w:szCs w:val="24"/>
          <w:shd w:val="clear" w:color="auto" w:fill="FFFFFF"/>
          <w:lang w:val="lv-LV" w:eastAsia="lv-LV"/>
          <w14:ligatures w14:val="standardContextual"/>
        </w:rPr>
        <w:t xml:space="preserve">teritorija atrodas funkcionālajā zonā </w:t>
      </w:r>
      <w:r w:rsidRPr="008E5CE8">
        <w:rPr>
          <w:rFonts w:ascii="Times New Roman" w:eastAsia="Times New Roman" w:hAnsi="Times New Roman"/>
          <w:i/>
          <w:iCs/>
          <w:kern w:val="2"/>
          <w:sz w:val="24"/>
          <w:szCs w:val="24"/>
          <w:shd w:val="clear" w:color="auto" w:fill="FFFFFF"/>
          <w:lang w:val="lv-LV" w:eastAsia="lv-LV"/>
          <w14:ligatures w14:val="standardContextual"/>
        </w:rPr>
        <w:t>Mežu teritorija</w:t>
      </w:r>
      <w:r w:rsidRPr="008E5CE8">
        <w:rPr>
          <w:rFonts w:ascii="Times New Roman" w:eastAsia="Times New Roman" w:hAnsi="Times New Roman"/>
          <w:kern w:val="2"/>
          <w:sz w:val="24"/>
          <w:szCs w:val="24"/>
          <w:shd w:val="clear" w:color="auto" w:fill="FFFFFF"/>
          <w:lang w:val="lv-LV" w:eastAsia="lv-LV"/>
          <w14:ligatures w14:val="standardContextual"/>
        </w:rPr>
        <w:t xml:space="preserve"> (M) un </w:t>
      </w:r>
      <w:r w:rsidRPr="008E5CE8">
        <w:rPr>
          <w:rFonts w:ascii="Times New Roman" w:eastAsia="Times New Roman" w:hAnsi="Times New Roman"/>
          <w:i/>
          <w:iCs/>
          <w:kern w:val="2"/>
          <w:sz w:val="24"/>
          <w:szCs w:val="24"/>
          <w:shd w:val="clear" w:color="auto" w:fill="FFFFFF"/>
          <w:lang w:val="lv-LV" w:eastAsia="lv-LV"/>
          <w14:ligatures w14:val="standardContextual"/>
        </w:rPr>
        <w:t>Lauksaimniecības teritorija</w:t>
      </w:r>
      <w:r w:rsidRPr="008E5CE8">
        <w:rPr>
          <w:rFonts w:ascii="Times New Roman" w:eastAsia="Times New Roman" w:hAnsi="Times New Roman"/>
          <w:kern w:val="2"/>
          <w:sz w:val="24"/>
          <w:szCs w:val="24"/>
          <w:shd w:val="clear" w:color="auto" w:fill="FFFFFF"/>
          <w:lang w:val="lv-LV" w:eastAsia="lv-LV"/>
          <w14:ligatures w14:val="standardContextual"/>
        </w:rPr>
        <w:t xml:space="preserve"> (L).</w:t>
      </w:r>
      <w:r w:rsidRPr="008E5CE8">
        <w:rPr>
          <w:rFonts w:ascii="Times New Roman" w:eastAsiaTheme="minorHAnsi" w:hAnsi="Times New Roman"/>
          <w:kern w:val="2"/>
          <w:sz w:val="24"/>
          <w:szCs w:val="24"/>
          <w:shd w:val="clear" w:color="auto" w:fill="FFFFFF"/>
          <w:lang w:val="lv-LV"/>
          <w14:ligatures w14:val="standardContextual"/>
        </w:rPr>
        <w:t xml:space="preserve"> Atbilstoši Teritorijas plānojuma T</w:t>
      </w:r>
      <w:r w:rsidRPr="008E5CE8">
        <w:rPr>
          <w:rFonts w:ascii="Times New Roman" w:eastAsia="Times New Roman" w:hAnsi="Times New Roman"/>
          <w:kern w:val="2"/>
          <w:sz w:val="24"/>
          <w:szCs w:val="24"/>
          <w:shd w:val="clear" w:color="auto" w:fill="FFFFFF"/>
          <w:lang w:val="lv-LV" w:eastAsia="lv-LV"/>
          <w14:ligatures w14:val="standardContextual"/>
        </w:rPr>
        <w:t>eritorijas izmantošanas un apbūves noteikumiem (turpmāk - TIAN)</w:t>
      </w:r>
      <w:r w:rsidRPr="008E5CE8">
        <w:rPr>
          <w:rFonts w:ascii="Times New Roman" w:eastAsiaTheme="minorHAnsi" w:hAnsi="Times New Roman"/>
          <w:kern w:val="2"/>
          <w:sz w:val="24"/>
          <w:szCs w:val="24"/>
          <w:shd w:val="clear" w:color="auto" w:fill="FFFFFF"/>
          <w:lang w:val="lv-LV"/>
          <w14:ligatures w14:val="standardContextual"/>
        </w:rPr>
        <w:t xml:space="preserve"> derīgo izrakteņu ieguve Jelgavas novadā šajās teritorijās ir atļauta kā papildizmantošana</w:t>
      </w:r>
      <w:r>
        <w:rPr>
          <w:rFonts w:ascii="Times New Roman" w:eastAsiaTheme="minorHAnsi" w:hAnsi="Times New Roman"/>
          <w:kern w:val="2"/>
          <w:sz w:val="24"/>
          <w:szCs w:val="24"/>
          <w:shd w:val="clear" w:color="auto" w:fill="FFFFFF"/>
          <w:vertAlign w:val="superscript"/>
          <w:lang w:val="lv-LV"/>
          <w14:ligatures w14:val="standardContextual"/>
        </w:rPr>
        <w:footnoteReference w:id="10"/>
      </w:r>
      <w:r w:rsidRPr="008E5CE8">
        <w:rPr>
          <w:rFonts w:ascii="Times New Roman" w:eastAsiaTheme="minorHAnsi" w:hAnsi="Times New Roman"/>
          <w:kern w:val="2"/>
          <w:sz w:val="24"/>
          <w:szCs w:val="24"/>
          <w:shd w:val="clear" w:color="auto" w:fill="FFFFFF"/>
          <w:lang w:val="lv-LV"/>
          <w14:ligatures w14:val="standardContextual"/>
        </w:rPr>
        <w:t xml:space="preserve">. Atradnē </w:t>
      </w:r>
      <w:r w:rsidRPr="008E5CE8">
        <w:rPr>
          <w:rFonts w:ascii="Times New Roman" w:hAnsi="Times New Roman"/>
          <w:bCs/>
          <w:sz w:val="24"/>
          <w:szCs w:val="24"/>
          <w:lang w:val="lv-LV"/>
        </w:rPr>
        <w:t>derīgo izrakteņu ieguve iepriekš nav veikta.</w:t>
      </w:r>
    </w:p>
    <w:p w14:paraId="045F8915" w14:textId="77777777" w:rsidR="008E5CE8" w:rsidRPr="008E5CE8" w:rsidRDefault="00050D80" w:rsidP="008E5CE8">
      <w:pPr>
        <w:widowControl/>
        <w:numPr>
          <w:ilvl w:val="0"/>
          <w:numId w:val="5"/>
        </w:numPr>
        <w:tabs>
          <w:tab w:val="left" w:pos="3290"/>
        </w:tabs>
        <w:spacing w:before="120" w:after="120" w:line="240" w:lineRule="auto"/>
        <w:ind w:left="397" w:hanging="397"/>
        <w:jc w:val="both"/>
        <w:rPr>
          <w:rFonts w:ascii="Times New Roman" w:eastAsia="Times New Roman" w:hAnsi="Times New Roman"/>
          <w:sz w:val="24"/>
          <w:szCs w:val="24"/>
          <w:lang w:val="lv-LV" w:eastAsia="lv-LV"/>
        </w:rPr>
      </w:pPr>
      <w:r w:rsidRPr="008E5CE8">
        <w:rPr>
          <w:rFonts w:ascii="Times New Roman" w:eastAsia="Times New Roman" w:hAnsi="Times New Roman"/>
          <w:sz w:val="24"/>
          <w:szCs w:val="24"/>
          <w:shd w:val="clear" w:color="auto" w:fill="FFFFFF"/>
          <w:lang w:val="lv-LV" w:eastAsia="lv-LV"/>
        </w:rPr>
        <w:t>Paredzētās</w:t>
      </w:r>
      <w:r w:rsidRPr="008E5CE8">
        <w:rPr>
          <w:rFonts w:ascii="Times New Roman" w:eastAsia="Times New Roman" w:hAnsi="Times New Roman"/>
          <w:bCs/>
          <w:sz w:val="24"/>
          <w:szCs w:val="24"/>
          <w:lang w:val="lv-LV" w:eastAsia="lv-LV"/>
        </w:rPr>
        <w:t xml:space="preserve"> darbības IVN sākotnējā sabiedriskā apspriešana </w:t>
      </w:r>
      <w:r w:rsidRPr="008E5CE8">
        <w:rPr>
          <w:rFonts w:ascii="Times New Roman" w:eastAsia="Times New Roman" w:hAnsi="Times New Roman"/>
          <w:sz w:val="24"/>
          <w:szCs w:val="24"/>
          <w:lang w:val="lv-LV" w:eastAsia="lv-LV"/>
        </w:rPr>
        <w:t xml:space="preserve">(turpmāk – Sākotnējā apspriešana) notika no 2024. gada 15. maija  līdz 4. jūnijam. Paziņojums par Paredzēto darbību un plānoto sanāksmi tika publicēts </w:t>
      </w:r>
      <w:bookmarkStart w:id="3" w:name="_Hlk149825931"/>
      <w:r w:rsidRPr="008E5CE8">
        <w:rPr>
          <w:rFonts w:ascii="Times New Roman" w:eastAsia="Times New Roman" w:hAnsi="Times New Roman"/>
          <w:sz w:val="24"/>
          <w:szCs w:val="24"/>
          <w:lang w:val="lv-LV" w:eastAsia="lv-LV"/>
        </w:rPr>
        <w:t>Jelgavas novada pašvaldības informatīvā izdevuma</w:t>
      </w:r>
      <w:r w:rsidRPr="008E5CE8">
        <w:rPr>
          <w:rFonts w:ascii="Times New Roman" w:eastAsia="Times New Roman" w:hAnsi="Times New Roman"/>
          <w:bCs/>
          <w:sz w:val="24"/>
          <w:szCs w:val="24"/>
          <w:lang w:val="lv-LV" w:eastAsia="lv-LV"/>
        </w:rPr>
        <w:t xml:space="preserve"> </w:t>
      </w:r>
      <w:r w:rsidRPr="008E5CE8">
        <w:rPr>
          <w:rFonts w:ascii="Times New Roman" w:eastAsia="Times New Roman" w:hAnsi="Times New Roman"/>
          <w:bCs/>
          <w:iCs/>
          <w:sz w:val="24"/>
          <w:szCs w:val="24"/>
          <w:lang w:val="lv-LV" w:eastAsia="lv-LV"/>
        </w:rPr>
        <w:t>“Jelgavas novada ziņas”</w:t>
      </w:r>
      <w:r w:rsidRPr="008E5CE8">
        <w:rPr>
          <w:rFonts w:ascii="Times New Roman" w:eastAsia="Times New Roman" w:hAnsi="Times New Roman"/>
          <w:bCs/>
          <w:sz w:val="24"/>
          <w:szCs w:val="24"/>
          <w:lang w:val="lv-LV" w:eastAsia="lv-LV"/>
        </w:rPr>
        <w:t xml:space="preserve"> </w:t>
      </w:r>
      <w:bookmarkStart w:id="4" w:name="_Hlk149825917"/>
      <w:r w:rsidRPr="008E5CE8">
        <w:rPr>
          <w:rFonts w:ascii="Times New Roman" w:eastAsia="Times New Roman" w:hAnsi="Times New Roman"/>
          <w:bCs/>
          <w:sz w:val="24"/>
          <w:szCs w:val="24"/>
          <w:lang w:val="lv-LV" w:eastAsia="lv-LV"/>
        </w:rPr>
        <w:t xml:space="preserve">2024. gada </w:t>
      </w:r>
      <w:r w:rsidRPr="008E5CE8">
        <w:rPr>
          <w:rFonts w:ascii="Times New Roman" w:eastAsia="Times New Roman" w:hAnsi="Times New Roman"/>
          <w:sz w:val="24"/>
          <w:szCs w:val="24"/>
          <w:lang w:val="lv-LV" w:eastAsia="lv-LV"/>
        </w:rPr>
        <w:t xml:space="preserve">maija </w:t>
      </w:r>
      <w:bookmarkEnd w:id="4"/>
      <w:r w:rsidRPr="008E5CE8">
        <w:rPr>
          <w:rFonts w:ascii="Times New Roman" w:eastAsia="Times New Roman" w:hAnsi="Times New Roman"/>
          <w:bCs/>
          <w:sz w:val="24"/>
          <w:szCs w:val="24"/>
          <w:lang w:val="lv-LV" w:eastAsia="lv-LV"/>
        </w:rPr>
        <w:t xml:space="preserve">izdevumā Nr. 5 (237) </w:t>
      </w:r>
      <w:bookmarkEnd w:id="3"/>
      <w:r w:rsidRPr="008E5CE8">
        <w:rPr>
          <w:rFonts w:ascii="Times New Roman" w:eastAsia="Times New Roman" w:hAnsi="Times New Roman"/>
          <w:sz w:val="24"/>
          <w:szCs w:val="24"/>
          <w:shd w:val="clear" w:color="auto" w:fill="FFFFFF"/>
          <w:lang w:val="lv-LV" w:eastAsia="lv-LV"/>
        </w:rPr>
        <w:t xml:space="preserve">un </w:t>
      </w:r>
      <w:r w:rsidRPr="008E5CE8">
        <w:rPr>
          <w:rFonts w:ascii="Times New Roman" w:eastAsia="Times New Roman" w:hAnsi="Times New Roman"/>
          <w:sz w:val="24"/>
          <w:szCs w:val="24"/>
          <w:lang w:val="lv-LV" w:eastAsia="lv-LV"/>
        </w:rPr>
        <w:t xml:space="preserve">ievietots tīmekļvietnēs </w:t>
      </w:r>
      <w:bookmarkStart w:id="5" w:name="_Hlk149825962"/>
      <w:r w:rsidRPr="008E5CE8">
        <w:rPr>
          <w:rFonts w:ascii="Times New Roman" w:eastAsia="Times New Roman" w:hAnsi="Times New Roman"/>
          <w:sz w:val="24"/>
          <w:szCs w:val="24"/>
          <w:lang w:val="lv-LV" w:eastAsia="lv-LV"/>
        </w:rPr>
        <w:t>www.l4.lv, www.jelgavasnovads.lv un www.vpvb.gov.lv</w:t>
      </w:r>
      <w:bookmarkEnd w:id="5"/>
      <w:r w:rsidRPr="008E5CE8">
        <w:rPr>
          <w:rFonts w:ascii="Times New Roman" w:eastAsia="Times New Roman" w:hAnsi="Times New Roman"/>
          <w:sz w:val="24"/>
          <w:szCs w:val="24"/>
          <w:lang w:val="lv-LV" w:eastAsia="lv-LV"/>
        </w:rPr>
        <w:t xml:space="preserve">. </w:t>
      </w:r>
      <w:bookmarkStart w:id="6" w:name="_Hlk149826059"/>
      <w:r w:rsidRPr="008E5CE8">
        <w:rPr>
          <w:rFonts w:ascii="Times New Roman" w:eastAsia="Times New Roman" w:hAnsi="Times New Roman"/>
          <w:bCs/>
          <w:sz w:val="24"/>
          <w:szCs w:val="24"/>
          <w:lang w:val="lv-LV" w:eastAsia="lv-LV"/>
        </w:rPr>
        <w:t>Ar sagatavotajiem materiāliem par Paredzēto darbību varēja iepazīties</w:t>
      </w:r>
      <w:r w:rsidRPr="008E5CE8">
        <w:rPr>
          <w:rFonts w:ascii="Times New Roman" w:eastAsia="Times New Roman" w:hAnsi="Times New Roman"/>
          <w:sz w:val="24"/>
          <w:szCs w:val="24"/>
          <w:lang w:val="lv-LV" w:eastAsia="lv-LV"/>
        </w:rPr>
        <w:t xml:space="preserve"> </w:t>
      </w:r>
      <w:r w:rsidRPr="008E5CE8">
        <w:rPr>
          <w:rFonts w:ascii="Times New Roman" w:eastAsia="Times New Roman" w:hAnsi="Times New Roman"/>
          <w:sz w:val="24"/>
          <w:szCs w:val="24"/>
          <w:lang w:val="lv-LV" w:eastAsia="en-GB"/>
        </w:rPr>
        <w:t>tīmekļvietnē www.l4.lv, klātienē Salgales pagasta pārvaldē (Draudzības iela 3, Emburga, Salgales pagasts, Jelgavas novads).</w:t>
      </w:r>
      <w:r w:rsidRPr="008E5CE8">
        <w:rPr>
          <w:rFonts w:ascii="Times New Roman" w:eastAsia="Times New Roman" w:hAnsi="Times New Roman"/>
          <w:sz w:val="24"/>
          <w:szCs w:val="24"/>
          <w:lang w:val="lv-LV" w:eastAsia="lv-LV"/>
        </w:rPr>
        <w:t xml:space="preserve"> </w:t>
      </w:r>
      <w:r w:rsidRPr="008E5CE8">
        <w:rPr>
          <w:rFonts w:ascii="Times New Roman" w:eastAsia="Times New Roman" w:hAnsi="Times New Roman"/>
          <w:bCs/>
          <w:sz w:val="24"/>
          <w:szCs w:val="24"/>
          <w:lang w:val="lv-LV" w:eastAsia="en-GB"/>
        </w:rPr>
        <w:t xml:space="preserve">Atbilstoši </w:t>
      </w:r>
      <w:r w:rsidRPr="008E5CE8">
        <w:rPr>
          <w:rFonts w:ascii="Times New Roman" w:eastAsia="Times New Roman" w:hAnsi="Times New Roman"/>
          <w:sz w:val="24"/>
          <w:szCs w:val="24"/>
          <w:lang w:val="lv-LV" w:eastAsia="lv-LV"/>
        </w:rPr>
        <w:t xml:space="preserve">Sākotnējas apspriešanas materiālos norādītajai informācijai par Paredzēto darbību individuāli informēti tie nekustamo īpašumu īpašnieki (valdītāji), kuru nekustamie īpašumi robežojas ar Darbības vietu. </w:t>
      </w:r>
      <w:r w:rsidRPr="008E5CE8">
        <w:rPr>
          <w:rFonts w:ascii="Times New Roman" w:eastAsia="Times New Roman" w:hAnsi="Times New Roman"/>
          <w:bCs/>
          <w:sz w:val="24"/>
          <w:szCs w:val="24"/>
          <w:lang w:val="lv-LV" w:eastAsia="en-GB"/>
        </w:rPr>
        <w:t>Sākotnējās sanāksmē tika organizēta hibrīdformā</w:t>
      </w:r>
      <w:r>
        <w:rPr>
          <w:rFonts w:ascii="Times New Roman" w:eastAsia="Times New Roman" w:hAnsi="Times New Roman"/>
          <w:bCs/>
          <w:sz w:val="24"/>
          <w:szCs w:val="24"/>
          <w:vertAlign w:val="superscript"/>
          <w:lang w:eastAsia="en-GB"/>
        </w:rPr>
        <w:footnoteReference w:id="11"/>
      </w:r>
      <w:r w:rsidRPr="008E5CE8">
        <w:rPr>
          <w:rFonts w:ascii="Times New Roman" w:eastAsia="Times New Roman" w:hAnsi="Times New Roman"/>
          <w:bCs/>
          <w:sz w:val="24"/>
          <w:szCs w:val="24"/>
          <w:lang w:val="lv-LV" w:eastAsia="en-GB"/>
        </w:rPr>
        <w:t xml:space="preserve"> 2024. gada 30. maijā plkst. 18:00 </w:t>
      </w:r>
      <w:r w:rsidRPr="008E5CE8">
        <w:rPr>
          <w:rFonts w:ascii="Times New Roman" w:eastAsia="Times New Roman" w:hAnsi="Times New Roman"/>
          <w:sz w:val="24"/>
          <w:szCs w:val="24"/>
          <w:lang w:val="lv-LV" w:eastAsia="en-GB"/>
        </w:rPr>
        <w:t>Salgales pagasta pārvaldē (Draudzības iela 3, Emburga, Salgales pagasts, Jelgavas novads)</w:t>
      </w:r>
      <w:r w:rsidRPr="008E5CE8">
        <w:rPr>
          <w:rFonts w:ascii="Times New Roman" w:eastAsia="Times New Roman" w:hAnsi="Times New Roman"/>
          <w:bCs/>
          <w:sz w:val="24"/>
          <w:szCs w:val="24"/>
          <w:lang w:val="lv-LV" w:eastAsia="en-GB"/>
        </w:rPr>
        <w:t>, klātienē piedalījās 8 dalībnieki, attālināti - neviens (</w:t>
      </w:r>
      <w:r w:rsidRPr="008E5CE8">
        <w:rPr>
          <w:rFonts w:ascii="Times New Roman" w:eastAsia="Times New Roman" w:hAnsi="Times New Roman"/>
          <w:bCs/>
          <w:i/>
          <w:iCs/>
          <w:sz w:val="24"/>
          <w:szCs w:val="24"/>
          <w:lang w:val="lv-LV" w:eastAsia="en-GB"/>
        </w:rPr>
        <w:t>ZOOM platformā</w:t>
      </w:r>
      <w:r w:rsidRPr="008E5CE8">
        <w:rPr>
          <w:rFonts w:ascii="Times New Roman" w:eastAsia="Times New Roman" w:hAnsi="Times New Roman"/>
          <w:bCs/>
          <w:sz w:val="24"/>
          <w:szCs w:val="24"/>
          <w:lang w:val="lv-LV" w:eastAsia="en-GB"/>
        </w:rPr>
        <w:t xml:space="preserve">). Saskaņā ar Sākotnējās apspriešanas sanāksmes protokolā norādīto sanāksmes dalībnieki interesējās par Paredzētās darbības iespējamo ietekmi uz ūdensapgādes akām, spridzināšanas darbu radīto ietekmi, kā arī pauda noraidošu attieksmi par Paredzētās darbības realizāciju. Saskaņā ar </w:t>
      </w:r>
      <w:r w:rsidRPr="008E5CE8">
        <w:rPr>
          <w:rFonts w:ascii="Times New Roman" w:hAnsi="Times New Roman"/>
          <w:sz w:val="24"/>
          <w:szCs w:val="24"/>
          <w:lang w:val="lv-LV"/>
        </w:rPr>
        <w:t xml:space="preserve">Sākotnējās apspriešanas materiālos nav norādīts, ka </w:t>
      </w:r>
      <w:r w:rsidRPr="008E5CE8">
        <w:rPr>
          <w:rFonts w:ascii="Times New Roman" w:eastAsia="Times New Roman" w:hAnsi="Times New Roman"/>
          <w:sz w:val="24"/>
          <w:szCs w:val="24"/>
          <w:lang w:val="lv-LV" w:eastAsia="lv-LV"/>
        </w:rPr>
        <w:t xml:space="preserve">Ierosinātāja </w:t>
      </w:r>
      <w:r w:rsidRPr="008E5CE8">
        <w:rPr>
          <w:rFonts w:ascii="Times New Roman" w:hAnsi="Times New Roman"/>
          <w:sz w:val="24"/>
          <w:szCs w:val="24"/>
          <w:lang w:val="lv-LV"/>
        </w:rPr>
        <w:t xml:space="preserve">būtu saņēmusi sabiedrības viedokli vai priekšlikumus par Paredzēto darbību. </w:t>
      </w:r>
      <w:r w:rsidRPr="008E5CE8">
        <w:rPr>
          <w:rFonts w:ascii="Times New Roman" w:hAnsi="Times New Roman"/>
          <w:sz w:val="24"/>
          <w:szCs w:val="24"/>
          <w:lang w:val="lv-LV" w:eastAsia="lv-LV"/>
        </w:rPr>
        <w:t>Sākotnējās apspriešanas ietvaros Birojā netika saņemti sabiedrības priekšlikumi.</w:t>
      </w:r>
    </w:p>
    <w:p w14:paraId="601A8FCB" w14:textId="77777777" w:rsidR="008E5CE8" w:rsidRDefault="00050D80">
      <w:pPr>
        <w:widowControl/>
        <w:spacing w:after="160" w:line="259" w:lineRule="auto"/>
        <w:rPr>
          <w:rFonts w:ascii="Times New Roman" w:hAnsi="Times New Roman"/>
          <w:sz w:val="24"/>
          <w:szCs w:val="24"/>
          <w:lang w:val="lv-LV" w:eastAsia="lv-LV"/>
        </w:rPr>
      </w:pPr>
      <w:r>
        <w:rPr>
          <w:rFonts w:ascii="Times New Roman" w:hAnsi="Times New Roman"/>
          <w:sz w:val="24"/>
          <w:szCs w:val="24"/>
          <w:lang w:val="lv-LV" w:eastAsia="lv-LV"/>
        </w:rPr>
        <w:br w:type="page"/>
      </w:r>
    </w:p>
    <w:bookmarkEnd w:id="6"/>
    <w:p w14:paraId="760B3C2E" w14:textId="77777777" w:rsidR="008E5CE8" w:rsidRPr="008E5CE8" w:rsidRDefault="00050D80" w:rsidP="008E5CE8">
      <w:pPr>
        <w:widowControl/>
        <w:numPr>
          <w:ilvl w:val="0"/>
          <w:numId w:val="6"/>
        </w:numPr>
        <w:tabs>
          <w:tab w:val="left" w:pos="3290"/>
        </w:tabs>
        <w:spacing w:before="240" w:after="120" w:line="240" w:lineRule="auto"/>
        <w:ind w:left="426" w:hanging="426"/>
        <w:rPr>
          <w:rFonts w:ascii="Times New Roman" w:eastAsia="Times New Roman" w:hAnsi="Times New Roman"/>
          <w:b/>
          <w:sz w:val="24"/>
          <w:szCs w:val="24"/>
          <w:lang w:val="lv-LV" w:eastAsia="en-GB"/>
        </w:rPr>
      </w:pPr>
      <w:r w:rsidRPr="008E5CE8">
        <w:rPr>
          <w:rFonts w:ascii="Times New Roman" w:eastAsia="Times New Roman" w:hAnsi="Times New Roman"/>
          <w:b/>
          <w:sz w:val="24"/>
          <w:szCs w:val="24"/>
          <w:lang w:val="lv-LV" w:eastAsia="en-GB"/>
        </w:rPr>
        <w:lastRenderedPageBreak/>
        <w:t>Vispārējo prasību detalizācijas pakāpe ietekmes uz vidi novērtējuma ziņojuma sagatavošanai:</w:t>
      </w:r>
    </w:p>
    <w:p w14:paraId="28109DF5" w14:textId="77777777" w:rsidR="008E5CE8" w:rsidRPr="008E5CE8" w:rsidRDefault="00050D80" w:rsidP="008E5CE8">
      <w:pPr>
        <w:widowControl/>
        <w:numPr>
          <w:ilvl w:val="0"/>
          <w:numId w:val="4"/>
        </w:numPr>
        <w:tabs>
          <w:tab w:val="left" w:pos="3290"/>
        </w:tabs>
        <w:spacing w:before="240" w:after="120" w:line="240" w:lineRule="auto"/>
        <w:ind w:left="397" w:hanging="39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Prasības Paredzētās darbības Ziņojuma sagatavošanai nosaka Novērtējuma likuma 17. panta trešā daļa un Noteikumu Nr. 18 2. pielikums, kurā izvērsti norādīta, kāda informācija un novērtējums ir iekļaujams Ziņojumā. Tādēļ Birojs atkārtoti minētās prasības neuzskaita, bet norāda, ka Ziņojumu sagatavo atbilstoši Novērtējuma likuma 17. panta trešās daļas un Noteikumu Nr. 18 2. pielikuma prasībām, cik iespējams, to strukturējot atbilstoši Noteikumu Nr. 18 2. pielikumam. </w:t>
      </w:r>
    </w:p>
    <w:p w14:paraId="2088938D" w14:textId="77777777" w:rsidR="008E5CE8" w:rsidRPr="008E5CE8" w:rsidRDefault="00050D80" w:rsidP="008E5CE8">
      <w:pPr>
        <w:widowControl/>
        <w:numPr>
          <w:ilvl w:val="0"/>
          <w:numId w:val="4"/>
        </w:numPr>
        <w:tabs>
          <w:tab w:val="left" w:pos="3290"/>
        </w:tabs>
        <w:spacing w:before="120" w:after="120" w:line="240" w:lineRule="auto"/>
        <w:ind w:left="397" w:hanging="39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Ievērojot Novērtējuma likuma 16. panta pirmajā daļā noteikto, Birojs ar šo programmu papildina no ārējiem normatīvajiem aktiem jau izrietošos nosacījumus Ziņojumā sniedzamās informācijas veidam, precizējot, kāda veida informācijai un novērtējumam pievēršama īpaša uzmanība, ņemot vērā Paredzētās darbības un Darbības vietas specifiku.</w:t>
      </w:r>
    </w:p>
    <w:p w14:paraId="32915001" w14:textId="77777777" w:rsidR="008E5CE8" w:rsidRPr="008E5CE8" w:rsidRDefault="00050D80" w:rsidP="008E5CE8">
      <w:pPr>
        <w:widowControl/>
        <w:numPr>
          <w:ilvl w:val="0"/>
          <w:numId w:val="4"/>
        </w:numPr>
        <w:tabs>
          <w:tab w:val="left" w:pos="3290"/>
        </w:tabs>
        <w:spacing w:before="120" w:after="120" w:line="240" w:lineRule="auto"/>
        <w:ind w:left="397" w:hanging="39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Ziņojuma sagatavošanai Birojs noteic šādu vispārējo prasību detalizāciju:</w:t>
      </w:r>
    </w:p>
    <w:p w14:paraId="0BB710A8" w14:textId="77777777" w:rsidR="008E5CE8" w:rsidRPr="008E5CE8" w:rsidRDefault="00050D80" w:rsidP="008E5CE8">
      <w:pPr>
        <w:widowControl/>
        <w:numPr>
          <w:ilvl w:val="1"/>
          <w:numId w:val="4"/>
        </w:numPr>
        <w:tabs>
          <w:tab w:val="left" w:pos="3290"/>
        </w:tabs>
        <w:spacing w:before="120" w:after="120" w:line="240" w:lineRule="auto"/>
        <w:ind w:left="851" w:hanging="567"/>
        <w:jc w:val="both"/>
        <w:rPr>
          <w:rFonts w:ascii="Times New Roman" w:eastAsia="Times New Roman" w:hAnsi="Times New Roman"/>
          <w:i/>
          <w:iCs/>
          <w:sz w:val="24"/>
          <w:szCs w:val="24"/>
          <w:lang w:val="lv-LV" w:eastAsia="en-GB"/>
        </w:rPr>
      </w:pPr>
      <w:r w:rsidRPr="008E5CE8">
        <w:rPr>
          <w:rFonts w:ascii="Times New Roman" w:eastAsia="Times New Roman" w:hAnsi="Times New Roman"/>
          <w:sz w:val="24"/>
          <w:szCs w:val="24"/>
          <w:lang w:val="lv-LV"/>
        </w:rPr>
        <w:t xml:space="preserve">Ziņojumā definē un pamato izpētes teritorijas robežas, kas ietver Darbības vietu, Paredzētās darbības iespējamās ietekmes un summāro ietekmju ar citām darbībām zonu. </w:t>
      </w:r>
      <w:r w:rsidRPr="008E5CE8">
        <w:rPr>
          <w:rFonts w:ascii="Times New Roman" w:hAnsi="Times New Roman"/>
          <w:sz w:val="24"/>
          <w:szCs w:val="24"/>
          <w:lang w:val="lv-LV"/>
        </w:rPr>
        <w:t xml:space="preserve">Ņemot vērā savstarpējās un summārās ietekmes (tiešās un netiešās) ar citām derīgo izrakteņu ieguves vietām, izpētes teritorijai jāaptver arī šīs Biroja programmas I nodaļas 6. punktā minētās teritorijas, kur veikta, tiek veikta, plānota vai atļauta derīgo izrakteņu ieguve. </w:t>
      </w:r>
      <w:r w:rsidRPr="008E5CE8">
        <w:rPr>
          <w:rFonts w:ascii="Times New Roman" w:eastAsia="Times New Roman" w:hAnsi="Times New Roman"/>
          <w:sz w:val="24"/>
          <w:szCs w:val="24"/>
          <w:lang w:val="lv-LV"/>
        </w:rPr>
        <w:t xml:space="preserve">Izpētes teritorija aptver arī teritoriju transportēšanas maršrutā pa autoceļiem </w:t>
      </w:r>
      <w:r w:rsidRPr="008E5CE8">
        <w:rPr>
          <w:rFonts w:ascii="Times New Roman" w:eastAsia="Times New Roman" w:hAnsi="Times New Roman"/>
          <w:i/>
          <w:iCs/>
          <w:sz w:val="24"/>
          <w:szCs w:val="24"/>
          <w:lang w:val="lv-LV"/>
        </w:rPr>
        <w:t>Oļas-Akmenscūciņas</w:t>
      </w:r>
      <w:r w:rsidRPr="008E5CE8">
        <w:rPr>
          <w:rFonts w:ascii="Times New Roman" w:eastAsia="Times New Roman" w:hAnsi="Times New Roman"/>
          <w:sz w:val="24"/>
          <w:szCs w:val="24"/>
          <w:lang w:val="lv-LV"/>
        </w:rPr>
        <w:t xml:space="preserve"> un  </w:t>
      </w:r>
      <w:r w:rsidRPr="008E5CE8">
        <w:rPr>
          <w:rFonts w:ascii="Times New Roman" w:eastAsia="Times New Roman" w:hAnsi="Times New Roman"/>
          <w:i/>
          <w:iCs/>
          <w:sz w:val="24"/>
          <w:szCs w:val="24"/>
          <w:lang w:val="lv-LV"/>
        </w:rPr>
        <w:t>Auniņu ceļu</w:t>
      </w:r>
      <w:r w:rsidRPr="008E5CE8">
        <w:rPr>
          <w:rFonts w:ascii="Times New Roman" w:eastAsia="Times New Roman" w:hAnsi="Times New Roman"/>
          <w:sz w:val="24"/>
          <w:szCs w:val="24"/>
          <w:lang w:val="lv-LV"/>
        </w:rPr>
        <w:t xml:space="preserve">, vismaz </w:t>
      </w:r>
      <w:bookmarkStart w:id="7" w:name="_Hlk169094838"/>
      <w:r w:rsidRPr="008E5CE8">
        <w:rPr>
          <w:rFonts w:ascii="Times New Roman" w:eastAsia="Times New Roman" w:hAnsi="Times New Roman"/>
          <w:sz w:val="24"/>
          <w:szCs w:val="24"/>
          <w:lang w:val="lv-LV"/>
        </w:rPr>
        <w:t xml:space="preserve">līdz Autoceļam </w:t>
      </w:r>
      <w:r w:rsidRPr="008E5CE8">
        <w:rPr>
          <w:rFonts w:ascii="Times New Roman" w:eastAsia="Times New Roman" w:hAnsi="Times New Roman"/>
          <w:sz w:val="24"/>
          <w:szCs w:val="24"/>
          <w:lang w:val="lv-LV" w:eastAsia="en-GB"/>
        </w:rPr>
        <w:t>V1045 un Autoceļam V1008</w:t>
      </w:r>
      <w:r w:rsidRPr="008E5CE8">
        <w:rPr>
          <w:rFonts w:ascii="Times New Roman" w:eastAsia="Times New Roman" w:hAnsi="Times New Roman"/>
          <w:sz w:val="24"/>
          <w:szCs w:val="24"/>
          <w:lang w:val="lv-LV"/>
        </w:rPr>
        <w:t>, kā arī reprezentatīvus posmus pa Autoceļiem V1045 un V1008, kur transportēšana paredzēta gar teritorijām ar dzīvojamo apbūvi</w:t>
      </w:r>
      <w:r w:rsidRPr="008E5CE8">
        <w:rPr>
          <w:rFonts w:ascii="Times New Roman" w:eastAsia="Times New Roman" w:hAnsi="Times New Roman"/>
          <w:sz w:val="24"/>
          <w:szCs w:val="24"/>
          <w:lang w:val="lv-LV" w:eastAsia="en-GB"/>
        </w:rPr>
        <w:t>.</w:t>
      </w:r>
    </w:p>
    <w:bookmarkEnd w:id="7"/>
    <w:p w14:paraId="0906ABCA" w14:textId="77777777" w:rsidR="008E5CE8" w:rsidRPr="008E5CE8" w:rsidRDefault="00050D80" w:rsidP="008E5CE8">
      <w:pPr>
        <w:widowControl/>
        <w:numPr>
          <w:ilvl w:val="1"/>
          <w:numId w:val="4"/>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Ziņojumam jāsatur esošās un plānotās situācijas attēlojums kartogrāfiski, kas ļauj pārskatāmi vizuāli uztvert, kādas pārmaiņas un kurā vietā ar Paredzēto darbību sagaidāmas, piemēram, esošās situācijas un plānotās situācijas plāns, kur savstarpēji salīdzināmā mērogā atspoguļojama esošā situācija un plānotā situācija Darbības vietā un Paredzētās darbības ietekmes zonā. Kartogrāfiski jāattēlo gan plānotā derīgo izrakteņu ieguves vieta (attēlojot arī rekultivētās teritorijas, teritorijas, kurās ieguve netiks veikta, piemēram, dažādu aprobežojumu (aizsargjoslu u.c.) dēļ), citas Atradnes daļas un citas atradnes Darbības vietas tuvumā (skat. šīs Biroja programmas I nodaļas 6. punktu), plānotie piebraukšanas un derīgā materiāla izvešanas ceļi, tuvumā esošās dzīvojamās mājas, papildus nepieciešamie pagaidu un pastāvīgie objekti (bērtnes, būves, ēkas, infrastruktūra, inženierkomunikācijas, nosusināšanas sistēmas elementi, meliorācijas sistēmas u.c.), kā arī cita nozīmīga informācija, kas ļauj pārskatāmi vizuāli uztvert, kādas pārmaiņas un kurā vietā ar Paredzēto darbību sagaidāmas.</w:t>
      </w:r>
    </w:p>
    <w:p w14:paraId="5FF9250B" w14:textId="77777777" w:rsidR="008E5CE8" w:rsidRPr="008E5CE8" w:rsidRDefault="00050D80" w:rsidP="008E5CE8">
      <w:pPr>
        <w:widowControl/>
        <w:numPr>
          <w:ilvl w:val="1"/>
          <w:numId w:val="4"/>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Paredzētās darbības alternatīvu vērtējumu veic vienlīdz detālā pakāpē, kā to paredz Noteikumu Nr. 18 2. pielikuma 8. punkts.</w:t>
      </w:r>
    </w:p>
    <w:p w14:paraId="740F0DD4" w14:textId="77777777" w:rsidR="008E5CE8" w:rsidRPr="008E5CE8" w:rsidRDefault="00050D80" w:rsidP="008E5CE8">
      <w:pPr>
        <w:widowControl/>
        <w:numPr>
          <w:ilvl w:val="1"/>
          <w:numId w:val="4"/>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Ziņojumā ietveramo ietekmju uz vidi novērtējumu veic speciālisti ar augstāko akadēmisko vai profesionālo izglītību, vēlams atbilstošā dabas zinātnes un inženierzinātnes izglītības tematiskajā jomā. Novērtējumu veic attiecīgajās sertifikācijas jomās sertificēti nozares (t.sk. sugu un biotopu) eksperti un Ziņojumam pievieno parakstītus ekspertu atzinumus. Ziņojumā ietver to speciālistu sarakstu (norādot izglītību), kuri sagatavojuši attiecīgo Paredzētās darbības ietekmju vērtējumu.</w:t>
      </w:r>
    </w:p>
    <w:p w14:paraId="0092815E" w14:textId="77777777" w:rsidR="008E5CE8" w:rsidRPr="008E5CE8" w:rsidRDefault="00050D80" w:rsidP="008E5CE8">
      <w:pPr>
        <w:widowControl/>
        <w:numPr>
          <w:ilvl w:val="1"/>
          <w:numId w:val="4"/>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Ziņojumam un tam pievienotiem dokumentiem jābūt parakstītam un noformētiem normatīvajos aktos noteiktajā kārtībā. Ja dokumenta oriģināls bijis sagatavots elektroniski, tā papīra atvasinājumam (norakstam) jābūt noformētam atbilstoši likumam “Elektronisko dokumentu likums”</w:t>
      </w:r>
      <w:r w:rsidRPr="008E5CE8">
        <w:rPr>
          <w:rFonts w:ascii="Times New Roman" w:eastAsia="Times New Roman" w:hAnsi="Times New Roman"/>
          <w:i/>
          <w:iCs/>
          <w:sz w:val="24"/>
          <w:szCs w:val="24"/>
          <w:lang w:val="lv-LV" w:eastAsia="en-GB"/>
        </w:rPr>
        <w:t xml:space="preserve"> </w:t>
      </w:r>
      <w:r w:rsidRPr="008E5CE8">
        <w:rPr>
          <w:rFonts w:ascii="Times New Roman" w:eastAsia="Times New Roman" w:hAnsi="Times New Roman"/>
          <w:sz w:val="24"/>
          <w:szCs w:val="24"/>
          <w:lang w:val="lv-LV" w:eastAsia="en-GB"/>
        </w:rPr>
        <w:t>un jāsatur informācija par elektronisko parakstu un tā laika zīmogu.</w:t>
      </w:r>
    </w:p>
    <w:p w14:paraId="0F79B6AA" w14:textId="77777777" w:rsidR="008E5CE8" w:rsidRPr="008E5CE8" w:rsidRDefault="00050D80" w:rsidP="008E5CE8">
      <w:pPr>
        <w:widowControl/>
        <w:numPr>
          <w:ilvl w:val="1"/>
          <w:numId w:val="4"/>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lastRenderedPageBreak/>
        <w:t>Lai uzlabotu Ziņojuma uztveramību, Ziņojumam nepieciešams sagatavot arī īsu ievadu, kurā ietver koncentrētu Paredzētās darbības, Darbības vietas un tās galveno raksturlielumu aprakstu, tostarp informāciju par Paredzētās darbības alternatīvām, galvenajiem ietekmju novērtējuma secinājumiem un plānotajiem Paredzētās darbības realizācijas termiņiem.</w:t>
      </w:r>
    </w:p>
    <w:p w14:paraId="4B613E1F" w14:textId="77777777" w:rsidR="008E5CE8" w:rsidRPr="008E5CE8" w:rsidRDefault="00050D80" w:rsidP="008E5CE8">
      <w:pPr>
        <w:widowControl/>
        <w:numPr>
          <w:ilvl w:val="1"/>
          <w:numId w:val="4"/>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Sagatavojot Ziņojumu, ņem vērā iespējamas faktisko un tiesisko apstākļu izmaiņas, tostarp izmaiņas normatīvajos aktos, kas regulē IVN un atsevišķu ietekmes aspektu novērtējumu. </w:t>
      </w:r>
    </w:p>
    <w:p w14:paraId="6C99109A" w14:textId="77777777" w:rsidR="008E5CE8" w:rsidRPr="008E5CE8" w:rsidRDefault="00050D80" w:rsidP="008E5CE8">
      <w:pPr>
        <w:widowControl/>
        <w:numPr>
          <w:ilvl w:val="0"/>
          <w:numId w:val="6"/>
        </w:numPr>
        <w:tabs>
          <w:tab w:val="left" w:pos="3290"/>
        </w:tabs>
        <w:spacing w:before="240" w:after="120" w:line="240" w:lineRule="auto"/>
        <w:ind w:left="426" w:hanging="426"/>
        <w:rPr>
          <w:rFonts w:ascii="Times New Roman" w:eastAsia="Times New Roman" w:hAnsi="Times New Roman"/>
          <w:b/>
          <w:sz w:val="24"/>
          <w:szCs w:val="24"/>
          <w:lang w:val="lv-LV" w:eastAsia="en-GB"/>
        </w:rPr>
      </w:pPr>
      <w:r w:rsidRPr="008E5CE8">
        <w:rPr>
          <w:rFonts w:ascii="Times New Roman" w:eastAsia="Times New Roman" w:hAnsi="Times New Roman"/>
          <w:b/>
          <w:sz w:val="24"/>
          <w:szCs w:val="24"/>
          <w:lang w:val="lv-LV" w:eastAsia="en-GB"/>
        </w:rPr>
        <w:t>Institūcijas un organizācijas, ar kurām nepieciešams konsultēties vai kurām iesniedzams Ziņojums:</w:t>
      </w:r>
    </w:p>
    <w:p w14:paraId="471EC44E" w14:textId="77777777" w:rsidR="008E5CE8" w:rsidRPr="008E5CE8" w:rsidRDefault="00050D80" w:rsidP="008E5CE8">
      <w:pPr>
        <w:widowControl/>
        <w:numPr>
          <w:ilvl w:val="0"/>
          <w:numId w:val="7"/>
        </w:numPr>
        <w:tabs>
          <w:tab w:val="left" w:pos="3290"/>
        </w:tabs>
        <w:spacing w:before="240" w:after="120" w:line="240" w:lineRule="auto"/>
        <w:ind w:left="397" w:hanging="397"/>
        <w:jc w:val="both"/>
        <w:rPr>
          <w:rFonts w:ascii="Times New Roman" w:hAnsi="Times New Roman"/>
          <w:sz w:val="24"/>
          <w:szCs w:val="24"/>
          <w:lang w:val="lv-LV"/>
        </w:rPr>
      </w:pPr>
      <w:r w:rsidRPr="008E5CE8">
        <w:rPr>
          <w:rFonts w:ascii="Times New Roman" w:hAnsi="Times New Roman"/>
          <w:bCs/>
          <w:iCs/>
          <w:sz w:val="24"/>
          <w:szCs w:val="24"/>
          <w:lang w:val="lv-LV"/>
        </w:rPr>
        <w:t>IVN veikšanas laikā Ierosinātājai jākonsultējas ar DAP</w:t>
      </w:r>
      <w:r w:rsidR="00FA2C89">
        <w:rPr>
          <w:rFonts w:ascii="Times New Roman" w:hAnsi="Times New Roman"/>
          <w:bCs/>
          <w:iCs/>
          <w:sz w:val="24"/>
          <w:szCs w:val="24"/>
          <w:lang w:val="lv-LV"/>
        </w:rPr>
        <w:t xml:space="preserve"> (ja nepieciešams)</w:t>
      </w:r>
      <w:r w:rsidRPr="008E5CE8">
        <w:rPr>
          <w:rFonts w:ascii="Times New Roman" w:eastAsia="Times New Roman" w:hAnsi="Times New Roman"/>
          <w:sz w:val="24"/>
          <w:szCs w:val="24"/>
          <w:lang w:val="lv-LV" w:eastAsia="en-GB"/>
        </w:rPr>
        <w:t>.</w:t>
      </w:r>
    </w:p>
    <w:p w14:paraId="025DAE98" w14:textId="77777777" w:rsidR="008E5CE8" w:rsidRPr="008E5CE8" w:rsidRDefault="00050D80" w:rsidP="008E5CE8">
      <w:pPr>
        <w:widowControl/>
        <w:numPr>
          <w:ilvl w:val="0"/>
          <w:numId w:val="7"/>
        </w:numPr>
        <w:tabs>
          <w:tab w:val="left" w:pos="3290"/>
        </w:tabs>
        <w:autoSpaceDE w:val="0"/>
        <w:autoSpaceDN w:val="0"/>
        <w:adjustRightInd w:val="0"/>
        <w:spacing w:before="120" w:after="120" w:line="240" w:lineRule="auto"/>
        <w:ind w:left="397" w:hanging="397"/>
        <w:jc w:val="both"/>
        <w:rPr>
          <w:rFonts w:ascii="Times New Roman" w:eastAsia="Times New Roman" w:hAnsi="Times New Roman"/>
          <w:iCs/>
          <w:sz w:val="24"/>
          <w:szCs w:val="24"/>
          <w:shd w:val="clear" w:color="auto" w:fill="FFFFFF"/>
          <w:lang w:val="lv-LV" w:eastAsia="en-GB"/>
        </w:rPr>
      </w:pPr>
      <w:bookmarkStart w:id="8" w:name="_Hlk92449325"/>
      <w:r w:rsidRPr="008E5CE8">
        <w:rPr>
          <w:rFonts w:ascii="Times New Roman" w:eastAsia="Times New Roman" w:hAnsi="Times New Roman"/>
          <w:sz w:val="24"/>
          <w:szCs w:val="24"/>
          <w:lang w:val="lv-LV" w:eastAsia="en-GB"/>
        </w:rPr>
        <w:t xml:space="preserve">Ziņojumu jāiesniedz Valsts vides dienesta Atļauju pārvaldē, DAP un </w:t>
      </w:r>
      <w:r w:rsidRPr="008E5CE8">
        <w:rPr>
          <w:rFonts w:ascii="Times New Roman" w:hAnsi="Times New Roman"/>
          <w:sz w:val="24"/>
          <w:szCs w:val="24"/>
          <w:lang w:val="lv-LV"/>
        </w:rPr>
        <w:t>Jelgavas</w:t>
      </w:r>
      <w:r w:rsidRPr="008E5CE8">
        <w:rPr>
          <w:rFonts w:ascii="Times New Roman" w:eastAsia="Times New Roman" w:hAnsi="Times New Roman"/>
          <w:sz w:val="24"/>
          <w:szCs w:val="24"/>
          <w:lang w:val="lv-LV" w:eastAsia="en-GB"/>
        </w:rPr>
        <w:t xml:space="preserve"> novada pašvaldībā </w:t>
      </w:r>
      <w:r w:rsidRPr="008E5CE8">
        <w:rPr>
          <w:rFonts w:ascii="Times New Roman" w:hAnsi="Times New Roman"/>
          <w:sz w:val="24"/>
          <w:szCs w:val="24"/>
          <w:lang w:val="lv-LV"/>
        </w:rPr>
        <w:t>rakstveida priekšlikumu saņemšanai Ziņojuma pilnveidošanai.</w:t>
      </w:r>
      <w:bookmarkEnd w:id="8"/>
    </w:p>
    <w:p w14:paraId="5EFFB0EB" w14:textId="77777777" w:rsidR="008E5CE8" w:rsidRPr="008E5CE8" w:rsidRDefault="00050D80" w:rsidP="008E5CE8">
      <w:pPr>
        <w:widowControl/>
        <w:numPr>
          <w:ilvl w:val="0"/>
          <w:numId w:val="6"/>
        </w:numPr>
        <w:tabs>
          <w:tab w:val="left" w:pos="3290"/>
        </w:tabs>
        <w:spacing w:before="240" w:after="120" w:line="240" w:lineRule="auto"/>
        <w:ind w:left="426" w:hanging="426"/>
        <w:rPr>
          <w:rFonts w:ascii="Times New Roman" w:eastAsia="Times New Roman" w:hAnsi="Times New Roman"/>
          <w:b/>
          <w:sz w:val="24"/>
          <w:szCs w:val="24"/>
          <w:lang w:val="lv-LV" w:eastAsia="en-GB"/>
        </w:rPr>
      </w:pPr>
      <w:r w:rsidRPr="008E5CE8">
        <w:rPr>
          <w:rFonts w:ascii="Times New Roman" w:eastAsia="Times New Roman" w:hAnsi="Times New Roman"/>
          <w:b/>
          <w:sz w:val="24"/>
          <w:szCs w:val="24"/>
          <w:lang w:val="lv-LV" w:eastAsia="en-GB"/>
        </w:rPr>
        <w:t>Prasības novērtēšanas un pētījumu kopumam, kas jāietver Ziņojumā:</w:t>
      </w:r>
    </w:p>
    <w:p w14:paraId="12330DF4" w14:textId="77777777" w:rsidR="008E5CE8" w:rsidRPr="008E5CE8" w:rsidRDefault="00050D80" w:rsidP="008E5CE8">
      <w:pPr>
        <w:widowControl/>
        <w:numPr>
          <w:ilvl w:val="0"/>
          <w:numId w:val="3"/>
        </w:numPr>
        <w:tabs>
          <w:tab w:val="left" w:pos="3290"/>
        </w:tabs>
        <w:spacing w:before="240" w:after="120" w:line="240" w:lineRule="auto"/>
        <w:ind w:left="454" w:hanging="426"/>
        <w:jc w:val="both"/>
        <w:rPr>
          <w:rFonts w:ascii="Times New Roman" w:eastAsia="Times New Roman" w:hAnsi="Times New Roman"/>
          <w:b/>
          <w:sz w:val="24"/>
          <w:szCs w:val="24"/>
          <w:lang w:val="lv-LV" w:eastAsia="en-GB"/>
        </w:rPr>
      </w:pPr>
      <w:r w:rsidRPr="008E5CE8">
        <w:rPr>
          <w:rFonts w:ascii="Times New Roman" w:eastAsia="Times New Roman" w:hAnsi="Times New Roman"/>
          <w:b/>
          <w:sz w:val="24"/>
          <w:szCs w:val="24"/>
          <w:lang w:val="lv-LV" w:eastAsia="en-GB"/>
        </w:rPr>
        <w:t>Paredzētās darbības vietas un paredzētās darbības raksturojums:</w:t>
      </w:r>
    </w:p>
    <w:p w14:paraId="4BAB074E" w14:textId="77777777" w:rsidR="008E5CE8" w:rsidRPr="008E5CE8" w:rsidRDefault="00050D80" w:rsidP="008E5CE8">
      <w:pPr>
        <w:widowControl/>
        <w:numPr>
          <w:ilvl w:val="1"/>
          <w:numId w:val="2"/>
        </w:numPr>
        <w:tabs>
          <w:tab w:val="left" w:pos="567"/>
          <w:tab w:val="left" w:pos="3290"/>
        </w:tabs>
        <w:spacing w:before="24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Noteikumu Nr. 18 2. pielikuma 1. un 2. punktā noteikto prasību izpildei Birojs precizējošus nosacījumus neizvirza.</w:t>
      </w:r>
    </w:p>
    <w:p w14:paraId="7B4427FB"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Sniedzot informāciju par Darbības vietu atbilstoši Noteikumu Nr. 18 2. pielikuma 3. punktam, norāda arī pamatinformāciju par Atradni, </w:t>
      </w:r>
      <w:r w:rsidRPr="008E5CE8">
        <w:rPr>
          <w:rFonts w:ascii="Times New Roman" w:eastAsia="Times New Roman" w:hAnsi="Times New Roman"/>
          <w:sz w:val="24"/>
          <w:szCs w:val="24"/>
          <w:lang w:val="lv-LV"/>
        </w:rPr>
        <w:t>informāciju par Darbības vietā</w:t>
      </w:r>
      <w:r w:rsidRPr="008E5CE8">
        <w:rPr>
          <w:rFonts w:ascii="Times New Roman" w:eastAsia="Times New Roman" w:hAnsi="Times New Roman"/>
          <w:sz w:val="24"/>
          <w:szCs w:val="24"/>
          <w:shd w:val="clear" w:color="auto" w:fill="FFFFFF"/>
          <w:lang w:val="lv-LV"/>
        </w:rPr>
        <w:t xml:space="preserve"> esošo </w:t>
      </w:r>
      <w:r w:rsidRPr="008E5CE8">
        <w:rPr>
          <w:rFonts w:ascii="Times New Roman" w:eastAsia="Times New Roman" w:hAnsi="Times New Roman"/>
          <w:sz w:val="24"/>
          <w:szCs w:val="24"/>
          <w:lang w:val="lv-LV"/>
        </w:rPr>
        <w:t>derīgo izrakteņu krājumiem, to kategoriju, iegulas raksturojumu, derīgo izrakteņu kvalitāti un izmantošanas iespējas</w:t>
      </w:r>
      <w:r w:rsidRPr="008E5CE8">
        <w:rPr>
          <w:rFonts w:ascii="Times New Roman" w:eastAsia="Times New Roman" w:hAnsi="Times New Roman"/>
          <w:sz w:val="24"/>
          <w:szCs w:val="24"/>
          <w:lang w:val="lv-LV" w:eastAsia="en-GB"/>
        </w:rPr>
        <w:t>, kā arī par derīgo izrakteņu ieguves teritorijām, kurās ieguve veikta un kuras ir/vai nav rekultivētas, informāciju par esošo teritorijas izmantošanu, attālumus līdz dzīvojamām mājām, sabiedriskām, publiskām teritorijām un citiem objektiem (kuri var radīt savstarpējo un kopējo ietekmi ar citām</w:t>
      </w:r>
      <w:r w:rsidRPr="008E5CE8">
        <w:rPr>
          <w:rFonts w:ascii="Times New Roman" w:eastAsia="Times New Roman" w:hAnsi="Times New Roman"/>
          <w:sz w:val="24"/>
          <w:szCs w:val="24"/>
          <w:lang w:val="lv-LV"/>
        </w:rPr>
        <w:t xml:space="preserve"> esošām vai akceptētām paredzētajām darbībām </w:t>
      </w:r>
      <w:r w:rsidRPr="008E5CE8">
        <w:rPr>
          <w:rFonts w:ascii="Times New Roman" w:eastAsia="Times New Roman" w:hAnsi="Times New Roman"/>
          <w:bCs/>
          <w:sz w:val="24"/>
          <w:szCs w:val="24"/>
          <w:lang w:val="lv-LV"/>
        </w:rPr>
        <w:t>u.c.)</w:t>
      </w:r>
      <w:r w:rsidRPr="008E5CE8">
        <w:rPr>
          <w:rFonts w:ascii="Times New Roman" w:eastAsia="Times New Roman" w:hAnsi="Times New Roman"/>
          <w:sz w:val="24"/>
          <w:szCs w:val="24"/>
          <w:lang w:val="lv-LV"/>
        </w:rPr>
        <w:t>.</w:t>
      </w:r>
    </w:p>
    <w:p w14:paraId="00BEB090"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Definējot Paredzētās darbības alternatīvas atbilstoši Paredzētās darbības veidam un specifikai (Noteikumu Nr. 18 2. pielikuma 4 punkts), izsver arī iespējamās transportēšanas maršrutu alternatīvas, kas rada mazāku ietekmi dzīvojamās teritorijās.</w:t>
      </w:r>
    </w:p>
    <w:p w14:paraId="2E8838D7" w14:textId="77777777" w:rsidR="008E5CE8" w:rsidRPr="008E5CE8" w:rsidRDefault="00050D80" w:rsidP="008E5CE8">
      <w:pPr>
        <w:widowControl/>
        <w:numPr>
          <w:ilvl w:val="1"/>
          <w:numId w:val="2"/>
        </w:numPr>
        <w:tabs>
          <w:tab w:val="num" w:pos="453"/>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Sniedzot informāciju atbilstoši Noteikumu Nr. 18 2. pielikuma 5.1. punktam (Paredzētās darbības un to fizisko pazīmju apraksts, kā arī nosacījumi zemes izmantošanai), ievērojami arī šādi nosacījumi:</w:t>
      </w:r>
    </w:p>
    <w:p w14:paraId="3AF9503F" w14:textId="77777777" w:rsidR="008E5CE8" w:rsidRPr="008E5CE8" w:rsidRDefault="00050D80" w:rsidP="008E5CE8">
      <w:pPr>
        <w:widowControl/>
        <w:numPr>
          <w:ilvl w:val="2"/>
          <w:numId w:val="2"/>
        </w:numPr>
        <w:tabs>
          <w:tab w:val="left" w:pos="3290"/>
        </w:tabs>
        <w:spacing w:before="12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Raksturojot visus plānotos un nepieciešamos darbus un to secību, ņem vērā, ka šis raksturojums aptver gan teritorijas sagatavošanu, gan papildus nepieciešamo objektu būvniecību un esošo būvju (arī ūdens atsūknēšana, nostādināšana, novadīšana) pārbūvi (ja attiecināms, īpaša uzmanība pievēršama arī iespējamai esošu meliorācijas objektu pārkārtošanai vai pārbūvei (arī ārpus Darbības vietas), gan arī derīgā materiāla ieguvi un apstrādi, gan teritorijas rekultivāciju.</w:t>
      </w:r>
    </w:p>
    <w:p w14:paraId="09885273" w14:textId="77777777" w:rsidR="008E5CE8" w:rsidRPr="008E5CE8" w:rsidRDefault="00050D80" w:rsidP="008E5CE8">
      <w:pPr>
        <w:widowControl/>
        <w:numPr>
          <w:ilvl w:val="2"/>
          <w:numId w:val="2"/>
        </w:numPr>
        <w:tabs>
          <w:tab w:val="left" w:pos="3290"/>
        </w:tabs>
        <w:spacing w:before="12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Norādīt maksimālās iespējamās ieguves platības, ņemot vērā iespējamos ieguves ierobežojumus un attēlot vietas, kur derīgo izrakteņu ieguve netiks veikta, arī kartogrāfiski.</w:t>
      </w:r>
    </w:p>
    <w:p w14:paraId="4DCFC192"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Aprēķināt un norādīt kopējo zemes platību, kurai tiks veikta līdzšinējās izmantošanas un/vai zemes lietojuma veida maiņa (arī atmežošana vai apauguma noņemšana). Sniegt informāciju par iespējamu celmu un augsnes virskārtas, </w:t>
      </w:r>
      <w:r w:rsidRPr="008E5CE8">
        <w:rPr>
          <w:rFonts w:ascii="Times New Roman" w:eastAsia="Times New Roman" w:hAnsi="Times New Roman"/>
          <w:sz w:val="24"/>
          <w:szCs w:val="24"/>
          <w:lang w:val="lv-LV" w:eastAsia="en-GB"/>
        </w:rPr>
        <w:lastRenderedPageBreak/>
        <w:t>nepieciešamības gadījumā, arī grunts/derīgo izrakteņu segkārtas, izvietošanu vai izmantošanu.</w:t>
      </w:r>
    </w:p>
    <w:p w14:paraId="3641D5EE" w14:textId="77777777" w:rsidR="008E5CE8" w:rsidRPr="008E5CE8" w:rsidRDefault="00050D80" w:rsidP="008E5CE8">
      <w:pPr>
        <w:widowControl/>
        <w:numPr>
          <w:ilvl w:val="2"/>
          <w:numId w:val="2"/>
        </w:numPr>
        <w:tabs>
          <w:tab w:val="left" w:pos="3290"/>
        </w:tabs>
        <w:spacing w:before="12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Raksturot ieguves procesus – darbu secību, dažādu ieguves ciklu ilgumu, plānotos derīgā izrakteņa ieguves veidus un apjomus, izstrādes dziļumu, ieguves un ar to saistīto darbību laika grafiku un posmsecīgo karjera izstrādi, kā arī plānotās vienlaicīgi  izmantojamās teritorijas un paralēli veicamos rekultivācijas pasākumus.</w:t>
      </w:r>
    </w:p>
    <w:p w14:paraId="16B8E7C7"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Aprakstīt plānoto derīgo izrakteņu ieguves tehnoloģiju (paņēmienu), tostarp dolomīta spridzināšanu, irdināšanu ar mehānisko metodi (ja tāda paredzēta), apstrādi (drupināšanu, šķirošanu, skalošanu) un ūdens novadīšanu, kā arī salīdzināt to ar pasaules praksē izmantojamām tehnoloģijām. Norādīt izmantojamās tehnikas vienības un to skaitu.</w:t>
      </w:r>
    </w:p>
    <w:p w14:paraId="4EA06860" w14:textId="77777777" w:rsidR="008E5CE8" w:rsidRPr="008E5CE8" w:rsidRDefault="00050D80" w:rsidP="008E5CE8">
      <w:pPr>
        <w:widowControl/>
        <w:numPr>
          <w:ilvl w:val="2"/>
          <w:numId w:val="2"/>
        </w:numPr>
        <w:tabs>
          <w:tab w:val="left" w:pos="3290"/>
        </w:tabs>
        <w:spacing w:before="12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Aprakstīt un ar aprēķiniem pamatot karjera ūdens atsūknēšanas, nostādināšanas un novadīšanas sistēmu, atsūknētā ūdens daudzumu, sastāvu, nepieciešamo nostādināšanas dīķu platību, papildus nepieciešamās būves vai iekārtas novadāmā ūdens kvalitātes nodrošināšanai, iespējamo ūdens novadīšanas vietu.</w:t>
      </w:r>
    </w:p>
    <w:p w14:paraId="7AD115B8" w14:textId="77777777" w:rsidR="008E5CE8" w:rsidRPr="008E5CE8" w:rsidRDefault="00050D80" w:rsidP="008E5CE8">
      <w:pPr>
        <w:widowControl/>
        <w:numPr>
          <w:ilvl w:val="2"/>
          <w:numId w:val="2"/>
        </w:numPr>
        <w:tabs>
          <w:tab w:val="left" w:pos="3290"/>
        </w:tabs>
        <w:spacing w:before="120" w:after="120" w:line="240" w:lineRule="auto"/>
        <w:jc w:val="both"/>
        <w:rPr>
          <w:rFonts w:ascii="Times New Roman" w:hAnsi="Times New Roman"/>
          <w:sz w:val="24"/>
          <w:szCs w:val="24"/>
          <w:lang w:val="lv-LV"/>
        </w:rPr>
      </w:pPr>
      <w:r w:rsidRPr="008E5CE8">
        <w:rPr>
          <w:rFonts w:ascii="Times New Roman" w:eastAsia="Times New Roman" w:hAnsi="Times New Roman"/>
          <w:sz w:val="24"/>
          <w:szCs w:val="24"/>
          <w:lang w:val="lv-LV" w:eastAsia="en-GB"/>
        </w:rPr>
        <w:t>Īpašu uzmanību pievērš arī iespējamai esošu meliorācijas objektu pārkārtošanai vai pārbūvei un papildus veicamajiem darbiem ūdensnotekās vai meliorācijas sistēmās kontekstā ar plānoto darbību un nosacījumiem tās veikšanai (arī ārpus Darbības vietas), ņemot vērā atsūknējamā ūdens novadīšanas režīmu.</w:t>
      </w:r>
      <w:r w:rsidRPr="008E5CE8">
        <w:rPr>
          <w:rFonts w:ascii="Times New Roman" w:hAnsi="Times New Roman"/>
          <w:sz w:val="24"/>
          <w:szCs w:val="24"/>
          <w:lang w:val="lv-LV"/>
        </w:rPr>
        <w:t xml:space="preserve"> </w:t>
      </w:r>
    </w:p>
    <w:p w14:paraId="423B34CC" w14:textId="77777777" w:rsidR="008E5CE8" w:rsidRPr="008E5CE8" w:rsidRDefault="00050D80" w:rsidP="008E5CE8">
      <w:pPr>
        <w:widowControl/>
        <w:numPr>
          <w:ilvl w:val="2"/>
          <w:numId w:val="2"/>
        </w:numPr>
        <w:tabs>
          <w:tab w:val="left" w:pos="3290"/>
        </w:tabs>
        <w:spacing w:before="120" w:after="120" w:line="240" w:lineRule="auto"/>
        <w:jc w:val="both"/>
        <w:rPr>
          <w:rFonts w:ascii="Times New Roman" w:hAnsi="Times New Roman"/>
          <w:sz w:val="24"/>
          <w:szCs w:val="24"/>
          <w:lang w:val="lv-LV"/>
        </w:rPr>
      </w:pPr>
      <w:r>
        <w:rPr>
          <w:rFonts w:ascii="Times New Roman" w:hAnsi="Times New Roman"/>
          <w:sz w:val="24"/>
          <w:szCs w:val="24"/>
          <w:lang w:val="lv-LV"/>
        </w:rPr>
        <w:t>N</w:t>
      </w:r>
      <w:r w:rsidRPr="008E5CE8">
        <w:rPr>
          <w:rFonts w:ascii="Times New Roman" w:hAnsi="Times New Roman"/>
          <w:sz w:val="24"/>
          <w:szCs w:val="24"/>
          <w:lang w:val="lv-LV"/>
        </w:rPr>
        <w:t xml:space="preserve">ovērtē invazīvo sugu izplatību Darbības vietā  un tās tuvākajā apkārtnē un, </w:t>
      </w:r>
      <w:r>
        <w:rPr>
          <w:rFonts w:ascii="Times New Roman" w:hAnsi="Times New Roman"/>
          <w:sz w:val="24"/>
          <w:szCs w:val="24"/>
          <w:lang w:val="lv-LV"/>
        </w:rPr>
        <w:t>j</w:t>
      </w:r>
      <w:r w:rsidRPr="008E5CE8">
        <w:rPr>
          <w:rFonts w:ascii="Times New Roman" w:hAnsi="Times New Roman"/>
          <w:sz w:val="24"/>
          <w:szCs w:val="24"/>
          <w:lang w:val="lv-LV"/>
        </w:rPr>
        <w:t>a attiecināms</w:t>
      </w:r>
      <w:r>
        <w:rPr>
          <w:rFonts w:ascii="Times New Roman" w:hAnsi="Times New Roman"/>
          <w:sz w:val="24"/>
          <w:szCs w:val="24"/>
          <w:lang w:val="lv-LV"/>
        </w:rPr>
        <w:t>,</w:t>
      </w:r>
      <w:r w:rsidRPr="008E5CE8">
        <w:rPr>
          <w:rFonts w:ascii="Times New Roman" w:hAnsi="Times New Roman"/>
          <w:sz w:val="24"/>
          <w:szCs w:val="24"/>
          <w:lang w:val="lv-LV"/>
        </w:rPr>
        <w:t xml:space="preserve"> ņemot vērā Paredzētās darbības plānot infrastruktūru, raksturo iespējamos tehnoloģiskos risinājumus, kas neveicina invazīvo sugu tālāku izplatību. Pamato izvēlēto risinājumu.</w:t>
      </w:r>
    </w:p>
    <w:p w14:paraId="746540CF"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Novērtēt inženierkomunikāciju pieejamību, sniegt informāciju par nepieciešamajiem būvniecības, tostarp pārbūves vai atjaunošanas darbiem, tajā skaitā arī par paredzēto dolomīta skalošanai baseinu kaskādes atjaunošanas darbiem.</w:t>
      </w:r>
    </w:p>
    <w:p w14:paraId="6B744912" w14:textId="77777777" w:rsidR="008E5CE8" w:rsidRPr="008E5CE8" w:rsidRDefault="00050D80" w:rsidP="008E5CE8">
      <w:pPr>
        <w:numPr>
          <w:ilvl w:val="2"/>
          <w:numId w:val="2"/>
        </w:numPr>
        <w:tabs>
          <w:tab w:val="left" w:pos="3290"/>
        </w:tabs>
        <w:spacing w:before="120" w:after="120" w:line="240" w:lineRule="auto"/>
        <w:ind w:left="1135" w:hanging="851"/>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Īpašu uzmanību pievērš piebraukšanas iespējām Darbības vietai un plānotajiem transportēšanas maršrutiem, nepieciešamajiem būvniecības darbiem (piemēram, ceļa seguma atjaunošana vai maiņa) un iespējamiem transportlīdzekļu pārvietošanās ierobežojumiem uz koplietošanas ceļiem. Norāda kopējo plānoto satiksmes intensitāti uz izvešanas ceļiem, ņemot vērā satiksmes intensitāti arī no citām blakus esošajām derīgo izrakteņu ieguves vietām. </w:t>
      </w:r>
    </w:p>
    <w:p w14:paraId="67242BC0" w14:textId="77777777" w:rsidR="008E5CE8" w:rsidRPr="008E5CE8" w:rsidRDefault="00050D80" w:rsidP="008E5CE8">
      <w:pPr>
        <w:widowControl/>
        <w:numPr>
          <w:ilvl w:val="2"/>
          <w:numId w:val="2"/>
        </w:numPr>
        <w:tabs>
          <w:tab w:val="left" w:pos="3290"/>
        </w:tabs>
        <w:spacing w:before="120" w:after="120" w:line="240" w:lineRule="auto"/>
        <w:ind w:left="1134" w:hanging="850"/>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Novērtēt piemērotākos risinājumus rekultivācijai Darbības vietā vai dažādās Darbības vietas zonās (ja risinājumi varētu būt atšķirīgi). Sniegt konkrētus priekšlikumus plānotajiem rekultivācijas pasākumiem un to realizācijas laika grafikam. </w:t>
      </w:r>
    </w:p>
    <w:p w14:paraId="71AF5A76"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Sniedzot informāciju par nepieciešamajiem dabas resursiem un materiāliem atbilstoši Noteikumu Nr. 18 2. pielikuma 5.2. punktam, skaidrojams arī, kā tieši (kādos procesos) konkrētie materiāli vai dabas resursi tiek izlietoti un kāds ir šo resursu avots (piemēram, ūdens ieguves avots), kā arī sniedzams nepieciešamo energoresursu raksturojums.</w:t>
      </w:r>
    </w:p>
    <w:p w14:paraId="6F2E486A"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Sniedzot informāciju atbilstoši Noteikumu Nr. 18 2. pielikuma 5.3. punktam, īpašu uzmanību pievērš emisijām ūdenī, gaisā un trokšņa emisijām. Skaidrojams, kādos procesos un kādas potenciālās iekārtas attiecīgos blakusproduktus un emisijas rada. Prognozējamo blakusproduktu un emisiju apjomu nosaka skaitliskās vērtībās, ņemot vērā iekārtu tehniskajā dokumentācijā vai citos literatūras avotos norādīto (piemēram, </w:t>
      </w:r>
      <w:r w:rsidRPr="008E5CE8">
        <w:rPr>
          <w:rFonts w:ascii="Times New Roman" w:eastAsia="Times New Roman" w:hAnsi="Times New Roman"/>
          <w:sz w:val="24"/>
          <w:szCs w:val="24"/>
          <w:lang w:val="lv-LV" w:eastAsia="en-GB"/>
        </w:rPr>
        <w:lastRenderedPageBreak/>
        <w:t>attiecībā uz iekārtu skaņas jaudu). Lai noteiktu dolomīta ieguves iekārtu un procesu radīto piesārņojošo vielu emisiju gaisā daudzumu, ievēro normatīvajos aktos par stacionāru piesārņojuma avotu emisijas limita projekta izstrādi  noteiktos paņēmienus (monitorings, inventarizācija vai aprēķins, izmantojot emisiju faktorus). Attiecībā uz Paredzētās darbības laikā radītajiem atkritumiem norādāmi arī risinājumi to apsaimniekošanai. Attiecībā uz notekūdeņiem (ietver atsūknējamos un novadāmos ūdeņus) norādāmi to rašanās avoti, veidi un daudzums, piesārņojošās vielas notekūdeņos, savākšana, nepieciešamā attīrīšana, novadīšana un kvalitātes kontrole.</w:t>
      </w:r>
    </w:p>
    <w:p w14:paraId="5D9D0BE8"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Sagatavojot informāciju atbilstoši Noteikumu Nr. 18 2. pielikuma 5.4. punktam, vadās no minētā pielikuma 10. punktā sniegtajiem norādījumiem attiecībā uz avāriju risku novērtējumu un ņem tos vērā tik tālu, cik tie attiecas uz Paredzēto darbību.</w:t>
      </w:r>
    </w:p>
    <w:p w14:paraId="6CDEB7CB"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Noteikumu Nr. 18 2. pielikuma 5.5. punktā noteikto prasību izpildei Birojs precizējošus nosacījumus neizvirza.</w:t>
      </w:r>
    </w:p>
    <w:p w14:paraId="373DD1E5"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Sagatavojot informāciju saskaņā ar Noteikumu Nr. 18 2. pielikuma 5.6. punktā noteikto prasību izpildi papildu īpaša uzmanība vēršama uz paredzētās darbības radīto</w:t>
      </w:r>
      <w:r w:rsidRPr="008E5CE8">
        <w:rPr>
          <w:rFonts w:ascii="Times New Roman" w:hAnsi="Times New Roman"/>
          <w:sz w:val="24"/>
          <w:szCs w:val="24"/>
          <w:lang w:val="lv-LV"/>
        </w:rPr>
        <w:t xml:space="preserve"> pazemes ūdens līmeņa pazemināšanos Darbības vietas apkārtnē kopsakarībā ar klimata pārmaiņām.</w:t>
      </w:r>
    </w:p>
    <w:p w14:paraId="59AA0E70" w14:textId="77777777" w:rsidR="008E5CE8" w:rsidRPr="008E5CE8" w:rsidRDefault="00050D80" w:rsidP="008E5CE8">
      <w:pPr>
        <w:widowControl/>
        <w:numPr>
          <w:ilvl w:val="0"/>
          <w:numId w:val="2"/>
        </w:numPr>
        <w:tabs>
          <w:tab w:val="left" w:pos="3290"/>
        </w:tabs>
        <w:spacing w:before="240" w:after="120" w:line="240" w:lineRule="auto"/>
        <w:jc w:val="both"/>
        <w:rPr>
          <w:rFonts w:ascii="Times New Roman" w:eastAsia="Times New Roman" w:hAnsi="Times New Roman"/>
          <w:b/>
          <w:sz w:val="24"/>
          <w:szCs w:val="24"/>
          <w:lang w:val="lv-LV" w:eastAsia="en-GB"/>
        </w:rPr>
      </w:pPr>
      <w:r w:rsidRPr="008E5CE8">
        <w:rPr>
          <w:rFonts w:ascii="Times New Roman" w:eastAsia="Times New Roman" w:hAnsi="Times New Roman"/>
          <w:b/>
          <w:sz w:val="24"/>
          <w:szCs w:val="24"/>
          <w:lang w:val="lv-LV" w:eastAsia="en-GB"/>
        </w:rPr>
        <w:t>Vides stāvokļa novērtējums Darbības vietā un tās apkārtnē:</w:t>
      </w:r>
    </w:p>
    <w:p w14:paraId="6BF8CD21" w14:textId="77777777" w:rsidR="008E5CE8" w:rsidRPr="008E5CE8" w:rsidRDefault="00050D80" w:rsidP="008E5CE8">
      <w:pPr>
        <w:widowControl/>
        <w:numPr>
          <w:ilvl w:val="1"/>
          <w:numId w:val="2"/>
        </w:numPr>
        <w:tabs>
          <w:tab w:val="left" w:pos="3290"/>
        </w:tabs>
        <w:spacing w:before="24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Saskaņā ar Noteikumu Nr. 18 2. pielikuma 6. punktā noteikto (esošā vides stāvokļa novērtējums) Ziņojumā ietver aprakstu, kurā aplūkoti pašreizējā vides stāvokļa attiecīgie aspekti, apsverot, kā vides stāvoklis varētu attīstīties arī Paredzētās darbības neīstenošanas gadījumā (pamatscenārijs). Pamatscenārija novērtējums nav Paredzētās darbības alternatīvu novērtējums (to neaizstāj), bet veids, kā novērtēt, cik lielā mērā iemesls iespējamām negatīvām izmaiņām vides stāvoklī būtu tieši Paredzētā darbība.</w:t>
      </w:r>
    </w:p>
    <w:p w14:paraId="42E26126"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Atbilstoši Noteikumu Nr. 18 2. pielikuma 7. punktā noteiktajam – esošā vides stāvokļa raksturojumam jāaptver visas Novērtējuma likuma 1. panta 1. punkta legāldefinīcijā </w:t>
      </w:r>
      <w:r w:rsidRPr="008E5CE8">
        <w:rPr>
          <w:rFonts w:ascii="Times New Roman" w:eastAsia="Times New Roman" w:hAnsi="Times New Roman"/>
          <w:i/>
          <w:iCs/>
          <w:sz w:val="24"/>
          <w:szCs w:val="24"/>
          <w:lang w:val="lv-LV" w:eastAsia="en-GB"/>
        </w:rPr>
        <w:t>“ietekme uz vidi”</w:t>
      </w:r>
      <w:r w:rsidRPr="008E5CE8">
        <w:rPr>
          <w:rFonts w:ascii="Times New Roman" w:eastAsia="Times New Roman" w:hAnsi="Times New Roman"/>
          <w:sz w:val="24"/>
          <w:szCs w:val="24"/>
          <w:lang w:val="lv-LV" w:eastAsia="en-GB"/>
        </w:rPr>
        <w:t xml:space="preserve"> uzskaitītās vides jomas, īpašu uzmanību pievēršot pamatojumam, – vai un kā Paredzētā darbība (tostarp summāri ar citām darbībām) tās var ietekmēt. Šādā veidā identificējamas būtiskās ietekmes, noskaidrojot arī, kādi Paredzētās darbības procesi tās rada un kāda var būt to izpausme uz cilvēku, viņa veselību un drošību, bioloģisko daudzveidību, zemi un augsni, ūdeni, gaisu, klimatu, ainavu, materiālajām vērtībām, kultūras un dabas mantojumu, kā arī Darbības vietas iespējamo pakļautību avāriju vai negadījumu riskiem.</w:t>
      </w:r>
    </w:p>
    <w:p w14:paraId="01B5D9E2"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Īpaša uzmanība vides stāvokļa novērtējumā, kas veicams saskaņā ar Noteikumu Nr. 18 2. pielikuma 7.1. – 7.9. punktā noteikto, pievēršama šādiem jautājumiem:</w:t>
      </w:r>
    </w:p>
    <w:p w14:paraId="387455DE"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Hidroģeoloģiskie apstākļi Darbības vietā un Paredzētās darbības ietekmes zonā, tai skaitā gruntsūdens plūsmas virzieni, gruntsūdens līmeņa ieguluma dziļums, sezonālās svārstības un izmaiņu tendences, ņemot vērā nokrišņu daudzumu un piegulošo teritoriju izmantošanu; pazemes ūdeņu papildināšanās un noplūdes apgabali, hidrauliskā saistība starp virszemes un pazemes ūdeņiem Darbības vietā un tai piegulošajā teritorijā.</w:t>
      </w:r>
    </w:p>
    <w:p w14:paraId="620F0A47"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Hidroloģiskie apstākļi Darbības vietā un Paredzētās darbības ietekmes zonā, tai skaitā informācija par esošiem drenāžas un meliorācijas objektiem, ūdenstecēm un ūdensobjektiem Darbības vietā un tās apkārtnē (arī to aizsargjoslām), ūdens plūsmas virzieniem, saņemošajām ūdenstecēm (arī to raksturojums: ūdeņu tips, noteiktās ūdens kvalitātes prasības un vides kvalitātes mērķi, pašreizējā izmantošana), teritoriju applūšanas iespējamība.</w:t>
      </w:r>
    </w:p>
    <w:p w14:paraId="760A3476"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lastRenderedPageBreak/>
        <w:t>Darbības vietas ģeoloģiskā uzbūve un inženierģeoloģiskie apstākļi, tai skaitā, piemēram, paaugstināta ģeoloģiskā riska nogabali, mūsdienu ģeoloģiskie procesi.</w:t>
      </w:r>
    </w:p>
    <w:p w14:paraId="008B7793"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rPr>
        <w:t>Dzīvojamās mājas un apdzīvotas teritorijas Darbības vietas un transportēšanas maršruta/-u tuvumā, attālumi līdz tām.</w:t>
      </w:r>
    </w:p>
    <w:p w14:paraId="0176FAAD"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Tuvākās ūdens ņemšanas vietas un derīgo izrakteņu ieguves vietas / pazemes ūdens atradnes, to raksturojums un izmantošana, aizsargjoslas.</w:t>
      </w:r>
    </w:p>
    <w:p w14:paraId="4C7B8222"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Esošās gaisa kvalitātes un trokšņa līmeņa novērtējums Paredzētās darbības realizācijas vietā un ietekmes zonā, fokusējoties uz esošo problēmsituāciju un vietu, ja tādas identificējamas, analīzi. Esošā satiksmes intensitāte transportēšanas maršrutos, esošā gaisa kvalitāte un trokšņa līmenis Darbības vietā un Paredzētās darbības ietekmes zonā.</w:t>
      </w:r>
    </w:p>
    <w:p w14:paraId="393C3C09" w14:textId="77777777" w:rsidR="008E5CE8" w:rsidRPr="008E5CE8" w:rsidRDefault="00050D80" w:rsidP="008E5CE8">
      <w:pPr>
        <w:widowControl/>
        <w:numPr>
          <w:ilvl w:val="2"/>
          <w:numId w:val="2"/>
        </w:numPr>
        <w:tabs>
          <w:tab w:val="num" w:pos="0"/>
          <w:tab w:val="left" w:pos="3290"/>
        </w:tabs>
        <w:spacing w:before="120" w:after="120" w:line="240" w:lineRule="auto"/>
        <w:ind w:left="1134" w:hanging="708"/>
        <w:jc w:val="both"/>
        <w:rPr>
          <w:rFonts w:ascii="Times New Roman" w:eastAsia="Times New Roman" w:hAnsi="Times New Roman"/>
          <w:sz w:val="24"/>
          <w:szCs w:val="24"/>
          <w:lang w:val="lv-LV"/>
        </w:rPr>
      </w:pPr>
      <w:r w:rsidRPr="008E5CE8">
        <w:rPr>
          <w:rFonts w:ascii="Times New Roman" w:eastAsia="Times New Roman" w:hAnsi="Times New Roman"/>
          <w:sz w:val="24"/>
          <w:szCs w:val="24"/>
          <w:lang w:val="lv-LV"/>
        </w:rPr>
        <w:t xml:space="preserve">Darbības vietas un apkārtnes dabas novērtējums (arī mežu raksturojums, invazīvo sugu raksturojums (ja attiecināms)), ietverot vērtējumu par nozīmīgām dabas vērtībām, īpaši aizsargājamām sugām un to dzīvotnēm, īpaši aizsargājamiem un Eiropas Savienības nozīmes biotopiem un mikroliegumiem, </w:t>
      </w:r>
      <w:r w:rsidRPr="008E5CE8">
        <w:rPr>
          <w:rFonts w:ascii="Times New Roman" w:eastAsia="Times New Roman" w:hAnsi="Times New Roman"/>
          <w:sz w:val="24"/>
          <w:szCs w:val="24"/>
          <w:lang w:val="lv-LV" w:eastAsia="en-GB"/>
        </w:rPr>
        <w:t xml:space="preserve">putnu barošanās un ligzdošanas / vairošanās vietas, riestu vietas </w:t>
      </w:r>
      <w:r w:rsidRPr="008E5CE8">
        <w:rPr>
          <w:rFonts w:ascii="Times New Roman" w:eastAsia="Times New Roman" w:hAnsi="Times New Roman"/>
          <w:sz w:val="24"/>
          <w:szCs w:val="24"/>
          <w:lang w:val="lv-LV"/>
        </w:rPr>
        <w:t xml:space="preserve">Darbības vietā un tās iespējamās ietekmes zonā, tajā skaitā </w:t>
      </w:r>
      <w:r w:rsidRPr="008E5CE8">
        <w:rPr>
          <w:rFonts w:ascii="Times New Roman" w:hAnsi="Times New Roman"/>
          <w:sz w:val="24"/>
          <w:szCs w:val="24"/>
          <w:lang w:val="lv-LV"/>
        </w:rPr>
        <w:t xml:space="preserve">apodziņa </w:t>
      </w:r>
      <w:r w:rsidRPr="008E5CE8">
        <w:rPr>
          <w:rFonts w:ascii="Times New Roman" w:hAnsi="Times New Roman"/>
          <w:i/>
          <w:iCs/>
          <w:sz w:val="24"/>
          <w:szCs w:val="24"/>
          <w:lang w:val="lv-LV"/>
        </w:rPr>
        <w:t>Glaucidium passerinum</w:t>
      </w:r>
      <w:r w:rsidRPr="008E5CE8">
        <w:rPr>
          <w:rFonts w:ascii="Times New Roman" w:hAnsi="Times New Roman"/>
          <w:sz w:val="24"/>
          <w:szCs w:val="24"/>
          <w:lang w:val="lv-LV"/>
        </w:rPr>
        <w:t xml:space="preserve"> aizsardzībai noteiktajai prioritārajai teritorijai, kas atrodas apmēram 562 m attālumā no Darbības vietas</w:t>
      </w:r>
      <w:r w:rsidRPr="008E5CE8">
        <w:rPr>
          <w:rFonts w:ascii="Times New Roman" w:eastAsia="Times New Roman" w:hAnsi="Times New Roman"/>
          <w:sz w:val="24"/>
          <w:szCs w:val="24"/>
          <w:lang w:val="lv-LV"/>
        </w:rPr>
        <w:t xml:space="preserve">. </w:t>
      </w:r>
      <w:r w:rsidRPr="008E5CE8">
        <w:rPr>
          <w:rFonts w:ascii="Times New Roman" w:hAnsi="Times New Roman"/>
          <w:sz w:val="24"/>
          <w:szCs w:val="24"/>
          <w:lang w:val="lv-LV"/>
        </w:rPr>
        <w:t>Tuvākās īpaši aizsargājamās dabas teritorijas, tostarp arī Eiropas nozīmes aizsargājamās dabas teritorijas (</w:t>
      </w:r>
      <w:r w:rsidRPr="008E5CE8">
        <w:rPr>
          <w:rFonts w:ascii="Times New Roman" w:hAnsi="Times New Roman"/>
          <w:i/>
          <w:iCs/>
          <w:sz w:val="24"/>
          <w:szCs w:val="24"/>
          <w:lang w:val="lv-LV"/>
        </w:rPr>
        <w:t>Natura 2000</w:t>
      </w:r>
      <w:r w:rsidRPr="008E5CE8">
        <w:rPr>
          <w:rFonts w:ascii="Times New Roman" w:hAnsi="Times New Roman"/>
          <w:sz w:val="24"/>
          <w:szCs w:val="24"/>
          <w:lang w:val="lv-LV"/>
        </w:rPr>
        <w:t xml:space="preserve">), šo teritoriju aizsardzības režīmi un nozīmīgums bioloģiskās daudzveidības saglabāšanā. </w:t>
      </w:r>
      <w:r w:rsidRPr="008E5CE8">
        <w:rPr>
          <w:rFonts w:ascii="Times New Roman" w:eastAsia="Times New Roman" w:hAnsi="Times New Roman"/>
          <w:sz w:val="24"/>
          <w:szCs w:val="24"/>
          <w:lang w:val="lv-LV"/>
        </w:rPr>
        <w:t xml:space="preserve">Sugu un biotopu novērtējumu jāveic attiecīgajā sertifikācijas jomā sertificētam nozares (sugu un biotopu) ekspertam un Ziņojumam jāpievieno ekspertu atzinumi. </w:t>
      </w:r>
    </w:p>
    <w:p w14:paraId="56D80327"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Informācija par citām tuvākajām derīgo izrakteņu ieguves vietām, rūpnieciska rakstura darbībām vai piesārņotām vietām, kas rada līdzīgas ietekmes; novērtējums, vai un kā ietekmes varētu summēties. </w:t>
      </w:r>
    </w:p>
    <w:p w14:paraId="37FDDFDC"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Raksturojot esošo vides stāvokli, Ziņojumā sniegt arī šādas ziņas:</w:t>
      </w:r>
    </w:p>
    <w:p w14:paraId="2181DBF5"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Darbības vietas un tai piegulošo teritoriju īpašuma piederības raksturojums.</w:t>
      </w:r>
    </w:p>
    <w:p w14:paraId="0DE0021A"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Paredzētās darbības atbilstība vietējās pašvaldības teritorijas plānojumam, nepieciešamie grozījumi tajā, lai Paredzētā darbība būtu pieļaujama.</w:t>
      </w:r>
    </w:p>
    <w:p w14:paraId="65BD467B"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Meteoroloģisko apstākļu raksturojums (ietverot derīgo izrakteņu ieguves platības sagatavošanai, derīgo izrakteņu ieguvei un apstrādei, produkcijas, tostarp asfaltbetona, ražošanai un izstrādāto lauku rekultivācijai nelabvēlīgu dabas apstākļu raksturojumu).</w:t>
      </w:r>
    </w:p>
    <w:p w14:paraId="2945CEE0" w14:textId="77777777" w:rsidR="008E5CE8" w:rsidRPr="008E5CE8" w:rsidRDefault="00050D80" w:rsidP="008E5CE8">
      <w:pPr>
        <w:numPr>
          <w:ilvl w:val="2"/>
          <w:numId w:val="2"/>
        </w:numPr>
        <w:tabs>
          <w:tab w:val="left" w:pos="3290"/>
        </w:tabs>
        <w:spacing w:before="12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Darbības vietas un Paredzētās darbības ietekmes zonas ainaviskais un kultūrvēsturiskais nozīmīgums, informācija par kultūras un dabas mantojuma pieminekļiem, ja tādi ir iespējamās ietekmes zonā. </w:t>
      </w:r>
    </w:p>
    <w:p w14:paraId="761E3A51"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Cita informācija un novērtējums atbilstoši Noteikumu Nr. 18 2. pielikuma 7.1. – 7.9. punktā noteiktajam. </w:t>
      </w:r>
    </w:p>
    <w:p w14:paraId="00B0388E" w14:textId="77777777" w:rsidR="008E5CE8" w:rsidRPr="008E5CE8" w:rsidRDefault="00050D80" w:rsidP="008E5CE8">
      <w:pPr>
        <w:widowControl/>
        <w:numPr>
          <w:ilvl w:val="0"/>
          <w:numId w:val="2"/>
        </w:numPr>
        <w:tabs>
          <w:tab w:val="left" w:pos="3290"/>
        </w:tabs>
        <w:spacing w:before="240" w:after="120" w:line="240" w:lineRule="auto"/>
        <w:ind w:left="454" w:hanging="454"/>
        <w:jc w:val="both"/>
        <w:rPr>
          <w:rFonts w:ascii="Times New Roman" w:eastAsia="Times New Roman" w:hAnsi="Times New Roman"/>
          <w:b/>
          <w:sz w:val="24"/>
          <w:szCs w:val="24"/>
          <w:lang w:val="lv-LV" w:eastAsia="en-GB"/>
        </w:rPr>
      </w:pPr>
      <w:r w:rsidRPr="008E5CE8">
        <w:rPr>
          <w:rFonts w:ascii="Times New Roman" w:eastAsia="Times New Roman" w:hAnsi="Times New Roman"/>
          <w:b/>
          <w:sz w:val="24"/>
          <w:szCs w:val="24"/>
          <w:lang w:val="lv-LV" w:eastAsia="en-GB"/>
        </w:rPr>
        <w:t xml:space="preserve">Paredzētās darbības iespējamā ietekme uz vidi un tās novērtējums: </w:t>
      </w:r>
    </w:p>
    <w:p w14:paraId="03764E45" w14:textId="77777777" w:rsidR="008E5CE8" w:rsidRPr="008E5CE8" w:rsidRDefault="00050D80" w:rsidP="008E5CE8">
      <w:pPr>
        <w:widowControl/>
        <w:numPr>
          <w:ilvl w:val="1"/>
          <w:numId w:val="2"/>
        </w:numPr>
        <w:tabs>
          <w:tab w:val="left" w:pos="3290"/>
        </w:tabs>
        <w:spacing w:before="24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Paredzētās darbības un tās iespējamo alternatīvu būtiskās ietekmes uz vidi vērtējamas atbilstoši Noteikumu Nr. 18 2. pielikuma 8. punktā ar apakšpunktiem noteiktajam, ņemot vērā, ka katrs no ietekmju veidiem apsver gan tiešos, gan netiešos, sekundāros, savstarpējos un summāros u.c. ietekmes aspektus.</w:t>
      </w:r>
    </w:p>
    <w:p w14:paraId="6CA566C3"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lastRenderedPageBreak/>
        <w:t>Saistībā ar Paredzētās darbības kontekstā būtiskākajām ietekmēm (Noteikumu Nr. 18 2. pielikuma 8. punktā ar apakšpunktiem noteiktais) Birojs novērtējumam noteic šādu detalizācijas pakāpi:</w:t>
      </w:r>
    </w:p>
    <w:p w14:paraId="206426EF" w14:textId="77777777" w:rsidR="008E5CE8" w:rsidRPr="008E5CE8" w:rsidRDefault="00050D80" w:rsidP="008E5CE8">
      <w:pPr>
        <w:widowControl/>
        <w:numPr>
          <w:ilvl w:val="2"/>
          <w:numId w:val="2"/>
        </w:numPr>
        <w:tabs>
          <w:tab w:val="left" w:pos="3290"/>
        </w:tabs>
        <w:spacing w:before="120" w:after="120" w:line="240" w:lineRule="auto"/>
        <w:ind w:left="1134" w:hanging="700"/>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Ietekmju novērtējumā īpašu uzmanību pievērst savstarpējām un summārām (kopējām) ietekmēm ar derīgo izrakteņu ieguvi citās derīgo izrakteņu ieguves vietās Darbības vietas apkārtnē (skat. šīs Biroja programmas I nodaļas 6. punktu un II nodaļas 3.1. punktu), tostarp vietās kur derīgo izrakteņu ieguve šobrīd netiek veikta, bet ir akceptēta. Šādā novērtējumā ņemt vērā, ka vairākos aspektos (piemēram, ietekmes uz hidroloģiskajiem, hidroģeoloģiskajiem apstākļiem, īpaši aizsargājamām dabas vērtībām, ainavu) ietekmes var summēties arī tad, ja ieguve konkrētajā vietā ir pārtraukta vai tiek veikta neregulāri. Novērtējams, kuros no ietekmju aspektiem ietekmes summēsies, un kuros nē, to atbilstīgi pamatojot, kā arī veikt summāro ietekmju novērtējumu. Īpaša uzmanība veltāma derīgo izrakteņu transportēšanas summārajām ietekmēm, kā arī ūdens atsūknēšanas un mehāniskās spridzināšanas / irdināšanas, ja attiecināms, summārajām ietekmēm. Kur atbilstoši – izsverami risinājumi ietekmju mazināšanai vai darbības ierobežošanai, ja tādi nepieciešami. </w:t>
      </w:r>
    </w:p>
    <w:p w14:paraId="3D365C31"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Vērtējot ietekmes, ko rada Noteikumu Nr. 18 2. pielikuma 8.1. punktā uzskaitītie darbi, ņemamas vērā arī ar teritorijas sagatavošanu saistītās ietekmes, tostarp ietekmes, ko rada apauguma noņemšana, nosusināšanas sistēmas izveide, kaskādes atjaunošana un (ja nepieciešams) augsnes un neizmantojamās grunts virskārtas novietošana, kā arī ietekmes, ko rada papildus nepieciešamo infrastruktūras objektu (piemēram, ceļu) būvniecība vai meliorācijas sistēmu pārkārtošana ārpus Darbības vietas, ja tāda nepieciešama. Novērtējumā ņem vērā arī iespējamās neērtības vai traucējumus vietējiem iedzīvotājiem un ietekmes uz citām personām piederošiem īpašumiem.</w:t>
      </w:r>
    </w:p>
    <w:p w14:paraId="697B9492"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Sagatavojot Paredzētās darbības izraisītu hidroloģiskā un hidroģeoloģiskā režīmu izmaiņu prognozi, ņemt vērā pazemes ūdens atsūknēšanas un novadīšanas darbus, tai skaitā arī paredzamos sākotnējo atsūknēšanas darbu apjomus. Novērtējumā ņemt vērā teritorijas hidroģeoloģisko apstākļu īpatnības, derīgo izrakteņu ieguves ilgumu un plānoto intensitāti, kā arī savstarpējās un summārās ietekmes ar derīgo izrakteņu ieguvi citās teritorijās, ja attiecināms. Novērtēt arī hidroģeoloģisko apstākļu izmaiņu iespējamo ietekmi uz pazemes ūdeņiem, pieņemošajām ūdenstecēm, pazemes ūdens avotiem, dzeramā ūdens resursiem (arī viensētu akām) un to kvalitāti, bioloģisko daudzveidību. Veikt iespējamo ietekmes novērtējumu uz karjera ūdeņus pieņemošo ūdensteci, ņemot vērā arī tās savienojumu ar dabiskām ūdenstecēm (ja attiecināms), un Darbības vietas un tai piegulošās teritorijās esošo meliorāciju sistēmu, nepieciešamā rīcība problēmsituāciju gadījumā, tajā skaitā:</w:t>
      </w:r>
    </w:p>
    <w:p w14:paraId="44FF9DE6" w14:textId="77777777" w:rsidR="008E5CE8" w:rsidRPr="008E5CE8" w:rsidRDefault="00050D80" w:rsidP="008E5CE8">
      <w:pPr>
        <w:widowControl/>
        <w:numPr>
          <w:ilvl w:val="3"/>
          <w:numId w:val="2"/>
        </w:numPr>
        <w:tabs>
          <w:tab w:val="left" w:pos="993"/>
          <w:tab w:val="left" w:pos="3290"/>
        </w:tabs>
        <w:spacing w:before="120" w:after="120" w:line="240" w:lineRule="auto"/>
        <w:ind w:left="1418" w:hanging="851"/>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Novērtēt Paredzētās darbības iespējamo ietekmes zonu (depresijas piltuvi) atkarībā no ūdens līmeņa pazeminājuma karjerā, veicot aprēķinus un modelēšanu, un iezīmēt to situācijas plānā. Jānovērtē Paredzētās darbības iespējamo ietekmes zonu (arī depresijas piltuves veidošanās ilgumu), ņemot vērā maksimālos izstrādes apjomus/ieguves intensitāti, tiem atbilstoši veicot aprēķinus un, ja atbilstoši, modelēšanu, pie nepieciešamības ietverot modelēšanas aprēķinos iegūto informāciju par iespējamo ūdens līmeņu pazemināšanos ietekmētajos ūdens horizontos saistībā ar iespējamo depresijas piltuves veidošanos Paredzētās darbības vietai piegulošajā teritorijā un apkārtnē, arī aizsargājamo dabas vērtību saglabāšanas kontekstā, tai skaitā</w:t>
      </w:r>
      <w:r w:rsidRPr="008E5CE8">
        <w:rPr>
          <w:rFonts w:ascii="Times New Roman" w:hAnsi="Times New Roman"/>
          <w:sz w:val="24"/>
          <w:szCs w:val="24"/>
          <w:lang w:val="lv-LV"/>
        </w:rPr>
        <w:t xml:space="preserve"> kas saistītas ar mitriem/slapjiem apstākļiem, kopsakarībā ar klimata pārmaiņām</w:t>
      </w:r>
      <w:r w:rsidRPr="008E5CE8">
        <w:rPr>
          <w:rFonts w:ascii="Times New Roman" w:eastAsia="Times New Roman" w:hAnsi="Times New Roman"/>
          <w:sz w:val="24"/>
          <w:szCs w:val="24"/>
          <w:lang w:val="lv-LV" w:eastAsia="en-GB"/>
        </w:rPr>
        <w:t xml:space="preserve">. </w:t>
      </w:r>
    </w:p>
    <w:p w14:paraId="1D5959DF" w14:textId="77777777" w:rsidR="008E5CE8" w:rsidRPr="008E5CE8" w:rsidRDefault="00050D80" w:rsidP="008E5CE8">
      <w:pPr>
        <w:widowControl/>
        <w:numPr>
          <w:ilvl w:val="3"/>
          <w:numId w:val="2"/>
        </w:numPr>
        <w:tabs>
          <w:tab w:val="left" w:pos="993"/>
          <w:tab w:val="left" w:pos="3290"/>
        </w:tabs>
        <w:spacing w:before="120" w:after="120" w:line="240" w:lineRule="auto"/>
        <w:ind w:left="1418" w:hanging="851"/>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lastRenderedPageBreak/>
        <w:t>Novērtēt hidroloģisko apstākļu izmaiņu iespējamo ietekmi uz pazemes ūdens avotiem, dzeramā ūdens resursiem (arī viensētu akas) un to kvalitāti karjera izstrādes gaitā un pēc tā rekultivācijas, ietverot modelēšanas aprēķinos iegūto informāciju par iespējamo ūdens līmeņu pazemināšanos visos ietekmētajos ūdens horizontos saistībā ar iespējamo depresijas piltuves veidošanos Paredzētās darbības vietai piegulošajā teritorijā un apkārtnē, ņemot vērā arī citu atradņu darbību; informāciju atspoguļot arī kartogrāfiskajā materiālā.</w:t>
      </w:r>
      <w:r w:rsidRPr="008E5CE8">
        <w:rPr>
          <w:rFonts w:ascii="Times New Roman" w:hAnsi="Times New Roman"/>
          <w:sz w:val="24"/>
          <w:szCs w:val="24"/>
          <w:lang w:val="lv-LV"/>
        </w:rPr>
        <w:t xml:space="preserve"> Hidroloģijas modelī jāvērtē arī pazemes ūdens līmeņa pazemināšanas ietekme kopsakarībā ar klimata pārmaiņām.</w:t>
      </w:r>
    </w:p>
    <w:p w14:paraId="07D98746" w14:textId="77777777" w:rsidR="008E5CE8" w:rsidRPr="008E5CE8" w:rsidRDefault="00050D80" w:rsidP="008E5CE8">
      <w:pPr>
        <w:widowControl/>
        <w:numPr>
          <w:ilvl w:val="3"/>
          <w:numId w:val="2"/>
        </w:numPr>
        <w:tabs>
          <w:tab w:val="left" w:pos="993"/>
          <w:tab w:val="left" w:pos="3290"/>
        </w:tabs>
        <w:spacing w:before="120" w:after="120" w:line="240" w:lineRule="auto"/>
        <w:ind w:left="1418" w:hanging="851"/>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Novērtēt iespējamās karjera ūdeņus pieņemošās ūdensteces hidroloģiskā režīma izmaiņas, arī ūdens līmeņa svārstības un ūdens bilances izmaiņas; karjera ūdeņus pieņemošo ūdensteces vidējo un maksimālo caurplūdumu, kā arī ūdens līmeņu režīmu izmaiņu. Veikt ietekmes novērtējumu uz karjera ūdeņus pieņemošām ūdenstecēm, tai skaitā arī ārpus Darbības vietas, iespējamām izmaiņām to ūdens kvalitātē, ihtiofaunā un ūdens ekosistēmā kopumā Paredzētās darbības kontekstā, nosakot un novērtējot Paredzētās darbības ietekmes zonu un ietekmes būtiskumu.</w:t>
      </w:r>
    </w:p>
    <w:p w14:paraId="3F2731F1"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Tā kā ietekme uz gaisa kvalitāti, tostarp no iegūtā materiāla un saražotās produkcijas transportēšanas, ir viena no būtiskām ar Paredzēto darbību saistītajām ietekmēm, Noteikumu Nr. 18 2. pielikuma 8. punkta ar apakšpunktiem izpilde attiecībā uz gaisu piesārņojošo vielu emisiju novērtējumu izpildāma, atbilstoši Noteikumos Nr. 182 noteiktajam. Lai novērtētu emisijas limitu atbilstību gaisa kvalitātes normatīviem, izmantot piesārņojošo vielu izkliedes aprēķina datorprogrammu un ievērot Noteikumu Nr. 18 2. pielikuma 9. punktā noteikto, ka novērtējums (cik atbilstoši) izdarāms, ņemot vērā normatīvo aktu prasības par stacionāru piesārņojuma avotu emisijas limita projekta izstrādi (Noteikumi Nr. 182). Novērtējumam jāaptver līdzšinējās ietekmes (fona piesārņojums), Paredzētās darbības (bez fona ietekmes) ietekmes no ieguves vietas sagatavošanas, dolomīta ieguves un apstrādes, produkcijas ražošanas, materiālu un produkcijas uzglabāšanas krautnēs, iegūto materiālu un saražotās produkcijas transportēšanas,  gan informāciju par citām nozīmīgām esošām vai akceptētām darbībām Paredzētās darbības ietekmes zonā, kā arī sagaidāmās summārās ietekmes novērtējums. </w:t>
      </w:r>
    </w:p>
    <w:p w14:paraId="5DB3B627"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Tā kā trokšņa ietekme, jo īpaši no dolomīta ieguves (sevišķi kontekstā ar plānoto dolomīta irdināšanu, pielietojot mehānisko/spridzināšanas (ja attiecināms) metodi), iegūtā materiāla apstrādes un transportēšanas, ir viena no būtiskām ar Paredzēto darbību saistītajām ietekmēm, Noteikumu Nr. 18 2. pielikuma 8. punkta ar apakšpunktiem izpilde attiecībā uz vides trokšņa novērtējumu izpildāma atbilstoši Ministru kabineta 2014. gada 7. janvāra noteikumos Nr. 16 </w:t>
      </w:r>
      <w:r w:rsidRPr="008E5CE8">
        <w:rPr>
          <w:rFonts w:ascii="Times New Roman" w:eastAsia="Times New Roman" w:hAnsi="Times New Roman"/>
          <w:i/>
          <w:iCs/>
          <w:sz w:val="24"/>
          <w:szCs w:val="24"/>
          <w:lang w:val="lv-LV" w:eastAsia="en-GB"/>
        </w:rPr>
        <w:t>“Trokšņa novērtēšana un pārvaldības kārtība”</w:t>
      </w:r>
      <w:r w:rsidRPr="008E5CE8">
        <w:rPr>
          <w:rFonts w:ascii="Times New Roman" w:eastAsia="Times New Roman" w:hAnsi="Times New Roman"/>
          <w:sz w:val="24"/>
          <w:szCs w:val="24"/>
          <w:lang w:val="lv-LV" w:eastAsia="en-GB"/>
        </w:rPr>
        <w:t xml:space="preserve"> noteiktajam. Lai novērtētu atbilstību vides trokšņa normatīviem, jāizmanto trokšņa izkliedes aprēķina datorprogramma un novērtējumam jāaptver gan ietekmes no ieguves vietas sagatavošanas, dolomīta ieguves un apstrādes, gan transportēšanas, gan informāciju par citām nozīmīgām esošām vai akceptētām darbībām Paredzētās darbības ietekmes zonā. Novērtējumam jāaptver gan esošā trokšņa līmeņa (fona), gan Paredzētās darbības (bez fona) un summārās ietekmes.</w:t>
      </w:r>
    </w:p>
    <w:p w14:paraId="525FDA92"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rPr>
        <w:t>Plānoto spridzināšanas darbu izraisītās vibrācijas iespējamās ietekmes uz apkārtējām ēkām un infrastruktūras objektiem. Spridzināšanas un ieguves darbu ietekmju, tajā skaitā drošības, novērtējums un nozīmīgums, arī infrastruktūras objektu turpmākas izmantošanas kontekstā.</w:t>
      </w:r>
    </w:p>
    <w:p w14:paraId="37E6AB07" w14:textId="77777777" w:rsidR="008E5CE8" w:rsidRPr="008E5CE8" w:rsidRDefault="00050D80" w:rsidP="008E5CE8">
      <w:pPr>
        <w:widowControl/>
        <w:numPr>
          <w:ilvl w:val="2"/>
          <w:numId w:val="2"/>
        </w:numPr>
        <w:tabs>
          <w:tab w:val="left" w:pos="3290"/>
        </w:tabs>
        <w:spacing w:before="120" w:after="120" w:line="240" w:lineRule="auto"/>
        <w:ind w:left="1134" w:hanging="708"/>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lastRenderedPageBreak/>
        <w:t>Vērtējot transportēšanas ietekmes, jāņem vērā šajā programmā noteiktā prasība, ka Paredzētās darbības ietekmes teritorija transportēšanas maršrutā nosakāma vismaz līdz Autoceļiem V1045 un V1008 , kā arī reprezentatīvus posmus pa Autoceļiem V1045 un V1008, kur transportēšana paredzēta gar teritorijām ar dzīvojamo apbūvi.</w:t>
      </w:r>
    </w:p>
    <w:p w14:paraId="273C083B" w14:textId="77777777" w:rsidR="008E5CE8" w:rsidRPr="008E5CE8" w:rsidRDefault="00050D80" w:rsidP="008E5CE8">
      <w:pPr>
        <w:widowControl/>
        <w:numPr>
          <w:ilvl w:val="2"/>
          <w:numId w:val="2"/>
        </w:numPr>
        <w:tabs>
          <w:tab w:val="left" w:pos="3290"/>
        </w:tabs>
        <w:spacing w:before="120" w:after="120" w:line="240" w:lineRule="auto"/>
        <w:ind w:left="1134" w:hanging="709"/>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Atbilstoši Novērtējuma noteikumu Nr. 18 2. pielikuma 8.7. punktā noteiktajam novērtē Paredzētās darbības ietekmi uz klimatu un neaizsargātību pret klimata pārmaiņām arī kontekstā ar piegulošo teritoriju plānoto izmantošanu.</w:t>
      </w:r>
    </w:p>
    <w:p w14:paraId="45148D5C" w14:textId="77777777" w:rsidR="008E5CE8" w:rsidRPr="008E5CE8" w:rsidRDefault="00050D80" w:rsidP="008E5CE8">
      <w:pPr>
        <w:widowControl/>
        <w:numPr>
          <w:ilvl w:val="2"/>
          <w:numId w:val="2"/>
        </w:numPr>
        <w:tabs>
          <w:tab w:val="left" w:pos="3290"/>
        </w:tabs>
        <w:spacing w:before="120" w:after="120" w:line="240" w:lineRule="auto"/>
        <w:ind w:left="1135" w:hanging="851"/>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Veic ietekmes uz dabas vērtībām (arī mežiem, dižkokiem), bioloģisko daudzveidību novērtējumu, īpaši ņemot vērā aizsargājamās sugas, tai skaitā putnu, to dzīvotnes, īpaši aizsargājamos un Eiropas Savienības nozīmes biotopus, to aizsardzībai veidotus mikroliegumus. Novērtē šādas ietekmes būtiskumu un pieļaujamību novērtē, ņemot vērā arī aktuālo informāciju par Eiropas Savienības nozīmes biotopu un sugu stāvokli valstī, tai skaitā to sastopamību un aizņemto platību, populācijas un dzīvotnes vērtējumu, struktūru un funkciju vērtējumu, kā arī nākotnes perspektīvu vērtējumu un tendences. Novērtējumā ņem vērā gan tiešās, gan netiešās u.c. ietekmes, ko rada sagaidāmās pārmaiņas vidē, tostarp nosusināšana, trokšņa traucējumi u.c. ietekmes. Ietekmes novērtējumu uz bioloģisko daudzveidību sagatavo attiecīgajā jomā sertificēti dabas eksperti. Teritorijas novērtēšana dabā veicama atbilstošā sezonā, kas ļauj novērtēt attiecīgās dabas vērtības. Ņemot vērā hidroloģijas modeļa aprēķinus, iespējamo depresijas piltuvi, novērtē ietekmi </w:t>
      </w:r>
      <w:r w:rsidRPr="008E5CE8">
        <w:rPr>
          <w:rFonts w:ascii="Times New Roman" w:hAnsi="Times New Roman"/>
          <w:sz w:val="24"/>
          <w:szCs w:val="24"/>
          <w:lang w:val="lv-LV"/>
        </w:rPr>
        <w:t>uz ES nozīmes biotopiem un īpaši aizsargājamām sugām, kas saistītas ar mitriem/slapjiem apstākļiem, kopsakarībā ar klimata pārmaiņām.</w:t>
      </w:r>
    </w:p>
    <w:p w14:paraId="407FD8AA" w14:textId="77777777" w:rsidR="008E5CE8" w:rsidRPr="008E5CE8" w:rsidRDefault="00050D80" w:rsidP="008E5CE8">
      <w:pPr>
        <w:widowControl/>
        <w:numPr>
          <w:ilvl w:val="2"/>
          <w:numId w:val="2"/>
        </w:numPr>
        <w:tabs>
          <w:tab w:val="left" w:pos="3290"/>
        </w:tabs>
        <w:spacing w:before="120" w:after="120" w:line="240" w:lineRule="auto"/>
        <w:ind w:left="1135" w:hanging="851"/>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Ietekmes novērtējumu uz bioloģisko daudzveidību sagatavo attiecīgajā jomā sertificēti dabas eksperti. Teritorijas novērtēšana dabā veicama atbilstošā sezonā, kas ļauj novērtēt attiecīgās dabas vērtības.</w:t>
      </w:r>
    </w:p>
    <w:p w14:paraId="03A7CE39" w14:textId="77777777" w:rsidR="008E5CE8" w:rsidRPr="008E5CE8" w:rsidRDefault="00050D80" w:rsidP="008E5CE8">
      <w:pPr>
        <w:widowControl/>
        <w:numPr>
          <w:ilvl w:val="2"/>
          <w:numId w:val="2"/>
        </w:numPr>
        <w:tabs>
          <w:tab w:val="left" w:pos="3290"/>
        </w:tabs>
        <w:spacing w:before="120" w:after="120" w:line="240" w:lineRule="auto"/>
        <w:ind w:left="1135" w:hanging="851"/>
        <w:jc w:val="both"/>
        <w:rPr>
          <w:rFonts w:ascii="Times New Roman" w:eastAsia="Times New Roman" w:hAnsi="Times New Roman"/>
          <w:sz w:val="24"/>
          <w:szCs w:val="24"/>
          <w:lang w:val="lv-LV"/>
        </w:rPr>
      </w:pPr>
      <w:r w:rsidRPr="008E5CE8">
        <w:rPr>
          <w:rFonts w:ascii="Times New Roman" w:eastAsia="Times New Roman" w:hAnsi="Times New Roman"/>
          <w:sz w:val="24"/>
          <w:szCs w:val="24"/>
          <w:lang w:val="lv-LV" w:eastAsia="en-GB"/>
        </w:rPr>
        <w:t>Novērtēt</w:t>
      </w:r>
      <w:r w:rsidRPr="008E5CE8">
        <w:rPr>
          <w:rFonts w:ascii="Times New Roman" w:hAnsi="Times New Roman"/>
          <w:sz w:val="24"/>
          <w:szCs w:val="24"/>
          <w:lang w:val="lv-LV"/>
        </w:rPr>
        <w:t xml:space="preserve"> Paredzētās darbības ietekmi uz ainavu, kultūrvēsturisko vidi un </w:t>
      </w:r>
      <w:r w:rsidRPr="008E5CE8">
        <w:rPr>
          <w:rFonts w:ascii="Times New Roman" w:eastAsia="Times New Roman" w:hAnsi="Times New Roman"/>
          <w:sz w:val="24"/>
          <w:szCs w:val="24"/>
          <w:lang w:val="lv-LV"/>
        </w:rPr>
        <w:t>rekreācijas</w:t>
      </w:r>
      <w:r w:rsidRPr="008E5CE8">
        <w:rPr>
          <w:rFonts w:ascii="Times New Roman" w:hAnsi="Times New Roman"/>
          <w:sz w:val="24"/>
          <w:szCs w:val="24"/>
          <w:lang w:val="lv-LV"/>
        </w:rPr>
        <w:t xml:space="preserve"> resursiem. Izvērtēt ainavas veidošanas pasākumu nepieciešamību Paredzētās darbības ietekmes mazināšanai gan derīgo izrakteņu ieguves laikā, gan pēc ieguves pabeigšanas (ja nepieciešams - piedāvāto risinājumu izvērtējums un nosacījumi).</w:t>
      </w:r>
    </w:p>
    <w:p w14:paraId="579F19BA"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Citi ietekmju aspekti vērtējami atbilstoši Noteikumu Nr. 18 2. pielikuma 8. punktā ar apakšpunktiem noteiktajam, un Birojs papildu prasības šo punktu izpildei neizvirza.</w:t>
      </w:r>
    </w:p>
    <w:p w14:paraId="0DAAD72E"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rPr>
      </w:pPr>
      <w:r w:rsidRPr="008E5CE8">
        <w:rPr>
          <w:rFonts w:ascii="Times New Roman" w:eastAsia="Times New Roman" w:hAnsi="Times New Roman"/>
          <w:sz w:val="24"/>
          <w:szCs w:val="24"/>
          <w:lang w:val="lv-LV" w:eastAsia="en-GB"/>
        </w:rPr>
        <w:t>Vērtējot</w:t>
      </w:r>
      <w:r w:rsidRPr="008E5CE8">
        <w:rPr>
          <w:rFonts w:ascii="Times New Roman" w:eastAsia="Times New Roman" w:hAnsi="Times New Roman"/>
          <w:sz w:val="24"/>
          <w:szCs w:val="24"/>
          <w:lang w:val="lv-LV"/>
        </w:rPr>
        <w:t xml:space="preserve"> Paredzētās darbības ietekmi atbilstoši Noteikumu Nr. 18 2. pielikuma 10. punktā noteiktajam</w:t>
      </w:r>
      <w:r w:rsidRPr="008E5CE8">
        <w:rPr>
          <w:rFonts w:ascii="Times New Roman" w:hAnsi="Times New Roman"/>
          <w:sz w:val="24"/>
          <w:szCs w:val="24"/>
          <w:lang w:val="lv-LV"/>
        </w:rPr>
        <w:t>, īpaša uzmanība pievēršama iespējamiem vides riskiem un drošības jautājumiem.</w:t>
      </w:r>
    </w:p>
    <w:p w14:paraId="6E0DB4AF"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Sagatavojams Paredzētās darbības sociāli – ekonomisko aspektu izvērtējums, tai skaitā ietekmes uz materiālajām vērtībām (arī nekustamajiem īpašumiem) Paredzētās darbības ietekmes zonā novērtējums, ņemot vērā secinājumus par sagaidāmās ietekmes būtiskumu. </w:t>
      </w:r>
    </w:p>
    <w:p w14:paraId="1ED98786"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Ziņojumā ietver apkopojošu sabiedrības (arī institūciju un pašvaldības) viedokļu un attieksmes vērtējumu, tai skaitā arī sabiedriskās apspriešanas sanāksmju (arī Sākotnējās apspriešanas) rezultātu novērtējumu atbilstoši Noteikumu Nr. 18 2. pielikuma 16. punktam. </w:t>
      </w:r>
    </w:p>
    <w:p w14:paraId="1A30F387" w14:textId="77777777" w:rsidR="008E5CE8" w:rsidRPr="008E5CE8" w:rsidRDefault="00050D80" w:rsidP="008E5CE8">
      <w:pPr>
        <w:widowControl/>
        <w:numPr>
          <w:ilvl w:val="0"/>
          <w:numId w:val="2"/>
        </w:numPr>
        <w:tabs>
          <w:tab w:val="left" w:pos="3290"/>
        </w:tabs>
        <w:spacing w:before="24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b/>
          <w:bCs/>
          <w:sz w:val="24"/>
          <w:szCs w:val="24"/>
          <w:lang w:val="lv-LV" w:eastAsia="en-GB"/>
        </w:rPr>
        <w:t>Izvēlētās</w:t>
      </w:r>
      <w:r w:rsidRPr="008E5CE8">
        <w:rPr>
          <w:rFonts w:ascii="Times New Roman" w:eastAsia="Times New Roman" w:hAnsi="Times New Roman"/>
          <w:b/>
          <w:sz w:val="24"/>
          <w:szCs w:val="24"/>
          <w:lang w:val="lv-LV" w:eastAsia="en-GB"/>
        </w:rPr>
        <w:t xml:space="preserve"> alternatīvas pamatojums, ņemot vērā ietekmes uz vidi salīdzinājumu.</w:t>
      </w:r>
    </w:p>
    <w:p w14:paraId="62FB3F55" w14:textId="77777777" w:rsidR="008E5CE8" w:rsidRPr="008E5CE8" w:rsidRDefault="00050D80" w:rsidP="008E5CE8">
      <w:pPr>
        <w:widowControl/>
        <w:numPr>
          <w:ilvl w:val="1"/>
          <w:numId w:val="2"/>
        </w:numPr>
        <w:tabs>
          <w:tab w:val="left" w:pos="3290"/>
        </w:tabs>
        <w:spacing w:before="24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Novērtējot un salīdzinot Paredzētās darbības alternatīvas atbilstoši Noteikumu Nr. 18 2. pielikuma 11. punktā noteiktajam, norāda kritērijus alternatīvo risinājumu salīdzināšanai. Kritērijus izvēlās Ierosinātāja, tomēr tiem galvenokārt jāietver salīdzinājums saistībā ar radīto ietekmi uz vidi. </w:t>
      </w:r>
    </w:p>
    <w:p w14:paraId="5BB9900C"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lastRenderedPageBreak/>
        <w:t>Pamato izvēlēto variantu un izvērtē Paredzētās darbības un tās radītās ietekmes atbilstību normatīvajiem aktiem, kuros ietvertas prasības Paredzētajai darbībai.</w:t>
      </w:r>
    </w:p>
    <w:p w14:paraId="78D7F2F9" w14:textId="77777777" w:rsidR="008E5CE8" w:rsidRPr="008E5CE8" w:rsidRDefault="00050D80" w:rsidP="008E5CE8">
      <w:pPr>
        <w:widowControl/>
        <w:numPr>
          <w:ilvl w:val="0"/>
          <w:numId w:val="2"/>
        </w:numPr>
        <w:tabs>
          <w:tab w:val="left" w:pos="3290"/>
        </w:tabs>
        <w:spacing w:before="24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b/>
          <w:sz w:val="24"/>
          <w:szCs w:val="24"/>
          <w:lang w:val="lv-LV" w:eastAsia="en-GB"/>
        </w:rPr>
        <w:t>Izmantotās novērtēšanas metodes:</w:t>
      </w:r>
    </w:p>
    <w:p w14:paraId="0F9139C3" w14:textId="77777777" w:rsidR="008E5CE8" w:rsidRPr="008E5CE8" w:rsidRDefault="00050D80" w:rsidP="008E5CE8">
      <w:pPr>
        <w:widowControl/>
        <w:numPr>
          <w:ilvl w:val="1"/>
          <w:numId w:val="2"/>
        </w:numPr>
        <w:tabs>
          <w:tab w:val="left" w:pos="3290"/>
        </w:tabs>
        <w:spacing w:before="24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Novērtējot Paredzētās darbības ietekmi, norāda izmantotās prognozēšanas metodes, ja prognozēšanai izmantotas datorprogrammas, sniedz prognožu ievades datus. </w:t>
      </w:r>
    </w:p>
    <w:p w14:paraId="5161B8B1"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Ziņojumā sniedz Noteikumu Nr. 18 2. pielikuma 12. un 13. punktā norādīto informāciju. Papildu Noteikumu Nr. 18 2. pielikuma 12. un 13. punktā, kā arī šajā programmā noteiktajam, Birojs citus nosacījumus novērtēšanas paņēmieniem un metodēm nenoteic.</w:t>
      </w:r>
    </w:p>
    <w:p w14:paraId="2CF749C0" w14:textId="77777777" w:rsidR="008E5CE8" w:rsidRPr="008E5CE8" w:rsidRDefault="00050D80" w:rsidP="008E5CE8">
      <w:pPr>
        <w:widowControl/>
        <w:numPr>
          <w:ilvl w:val="0"/>
          <w:numId w:val="2"/>
        </w:numPr>
        <w:tabs>
          <w:tab w:val="left" w:pos="3290"/>
        </w:tabs>
        <w:spacing w:before="24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b/>
          <w:sz w:val="24"/>
          <w:szCs w:val="24"/>
          <w:lang w:val="lv-LV" w:eastAsia="en-GB"/>
        </w:rPr>
        <w:t>Prasības negatīvo ietekmju uz vidi novēršanas, nepieļaušanas vai samazināšanas pasākumu novērtēšanai, Paredzētās darbības limitējošo un ierobežojošo faktoru analīzei:</w:t>
      </w:r>
    </w:p>
    <w:p w14:paraId="25D5105C" w14:textId="77777777" w:rsidR="008E5CE8" w:rsidRPr="008E5CE8" w:rsidRDefault="00050D80" w:rsidP="008E5CE8">
      <w:pPr>
        <w:widowControl/>
        <w:numPr>
          <w:ilvl w:val="1"/>
          <w:numId w:val="2"/>
        </w:numPr>
        <w:tabs>
          <w:tab w:val="left" w:pos="3290"/>
        </w:tabs>
        <w:spacing w:before="24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Risinājumu veidi un pasākumi (inženiertehniskie, organizatoriskie u.c.), kas paredzēti, lai novērstu, nepieļautu vai mazinātu paredzētās darbības būtisku nelabvēlīgu ietekmi uz vidi, raksturojami un novērtējami atbilstoši Noteikumu Nr. 18 2. pielikuma 14. punktā noteiktajam, un tie aptver gan risinājumus teritorijas sagatavošanas un papildu nepieciešamo objektu būvniecības laikā, gan dolomīta ieguves laikā, gan risinājumus produkcijas ražošanas procesā, gan risinājumus ietekmes mazināšanai vietās, kur veikta derīgo izrakteņu ieguve (rekultivācija). Novērtē gan kādā mērā šādi pasākumi novērš, nepieļauj vai samazina ietekmi, gan kādas ir paliekošās ietekmes (pasākumu efektivitāte un paliekošo ietekmju atbilstība spēkā esošo normatīvo aktu prasībām). Novērtē paliekošo ietekmju atbilstību vides aizsardzību regulējošiem normatīvajiem aktiem. </w:t>
      </w:r>
    </w:p>
    <w:p w14:paraId="79E16971"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Veic Paredzētās darbības iespējamo ierobežojošo un limitējošo faktoru analīzi (ņemot vērā normatīvajos aktos noteiktos ierobežojumus, balstoties uz veikto novērtējumu par sagaidāmo ietekmi uz vidi un nepieciešamajiem pasākumiem tās novēršanai, samazināšanai u.c.). Nepieciešamības gadījumā paredz nosacījumus atsevišķu darbību veikšanas ierobežošanai.</w:t>
      </w:r>
    </w:p>
    <w:p w14:paraId="579713F4" w14:textId="77777777" w:rsidR="008E5CE8" w:rsidRPr="008E5CE8" w:rsidRDefault="00050D80" w:rsidP="008E5CE8">
      <w:pPr>
        <w:widowControl/>
        <w:numPr>
          <w:ilvl w:val="0"/>
          <w:numId w:val="2"/>
        </w:numPr>
        <w:tabs>
          <w:tab w:val="left" w:pos="3290"/>
        </w:tabs>
        <w:spacing w:before="240" w:after="120" w:line="240" w:lineRule="auto"/>
        <w:jc w:val="both"/>
        <w:rPr>
          <w:rFonts w:ascii="Times New Roman" w:eastAsia="Times New Roman" w:hAnsi="Times New Roman"/>
          <w:sz w:val="24"/>
          <w:szCs w:val="24"/>
          <w:lang w:val="lv-LV" w:eastAsia="en-GB"/>
        </w:rPr>
      </w:pPr>
      <w:r w:rsidRPr="008E5CE8">
        <w:rPr>
          <w:rFonts w:ascii="Times New Roman" w:eastAsia="Times New Roman" w:hAnsi="Times New Roman"/>
          <w:b/>
          <w:sz w:val="24"/>
          <w:szCs w:val="24"/>
          <w:lang w:val="lv-LV" w:eastAsia="en-GB"/>
        </w:rPr>
        <w:t>Prasības monitoringam:</w:t>
      </w:r>
    </w:p>
    <w:p w14:paraId="59E553E0"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Ziņojumā paredz pasākumus vides kvalitātes monitoringam un ietekmju uzraudzībai un novērtēšanai atbilstoši Noteikumu Nr. 18 2. pielikuma 15. punktā noteiktajam. </w:t>
      </w:r>
    </w:p>
    <w:p w14:paraId="4DCFA937" w14:textId="77777777" w:rsidR="008E5CE8" w:rsidRPr="008E5CE8" w:rsidRDefault="00050D80" w:rsidP="008E5CE8">
      <w:pPr>
        <w:widowControl/>
        <w:numPr>
          <w:ilvl w:val="1"/>
          <w:numId w:val="2"/>
        </w:numPr>
        <w:tabs>
          <w:tab w:val="left" w:pos="3290"/>
        </w:tabs>
        <w:spacing w:before="120" w:after="120" w:line="240" w:lineRule="auto"/>
        <w:ind w:left="851" w:hanging="567"/>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Izvērtējama monitoringa nepieciešamība, sevišķi kontekstā ar plānoto derīgo izrakteņu ieguvi zem gruntsūdens līmeņa un atsūknēto ūdeņu novadīšanu, kā arī ņemot vērā Darbības vietas apkārtnē jau esošās darbības ar līdzīgu ietekmi, un paredzami jau iespējami konkrēti nosacījumi metodēm, veikšanas vietām (attēlojams kartogrāfiskajā materiālā), parametriem, ilgumam un regularitātei.</w:t>
      </w:r>
    </w:p>
    <w:p w14:paraId="329B91F3" w14:textId="77777777" w:rsidR="008E5CE8" w:rsidRPr="008E5CE8" w:rsidRDefault="00050D80" w:rsidP="008E5CE8">
      <w:pPr>
        <w:widowControl/>
        <w:tabs>
          <w:tab w:val="left" w:pos="3290"/>
        </w:tabs>
        <w:spacing w:before="240" w:after="120" w:line="240" w:lineRule="auto"/>
        <w:ind w:left="454" w:hanging="454"/>
        <w:rPr>
          <w:rFonts w:ascii="Times New Roman" w:eastAsia="Times New Roman" w:hAnsi="Times New Roman"/>
          <w:b/>
          <w:sz w:val="24"/>
          <w:szCs w:val="24"/>
          <w:lang w:val="lv-LV" w:eastAsia="en-GB"/>
        </w:rPr>
      </w:pPr>
      <w:r w:rsidRPr="008E5CE8">
        <w:rPr>
          <w:rFonts w:ascii="Times New Roman" w:eastAsia="Times New Roman" w:hAnsi="Times New Roman"/>
          <w:b/>
          <w:sz w:val="24"/>
          <w:szCs w:val="24"/>
          <w:lang w:val="lv-LV" w:eastAsia="en-GB"/>
        </w:rPr>
        <w:t>V. Prasības sabiedriskajai apspriešanai un informācijas publiskošanai:</w:t>
      </w:r>
    </w:p>
    <w:p w14:paraId="153AF17E" w14:textId="77777777" w:rsidR="008E5CE8" w:rsidRPr="008E5CE8" w:rsidRDefault="00050D80" w:rsidP="008E5CE8">
      <w:pPr>
        <w:widowControl/>
        <w:numPr>
          <w:ilvl w:val="0"/>
          <w:numId w:val="1"/>
        </w:numPr>
        <w:tabs>
          <w:tab w:val="left" w:pos="3290"/>
        </w:tabs>
        <w:spacing w:before="120" w:after="120" w:line="240" w:lineRule="auto"/>
        <w:ind w:left="284" w:hanging="284"/>
        <w:jc w:val="both"/>
        <w:rPr>
          <w:rFonts w:ascii="Times New Roman" w:eastAsia="Times New Roman" w:hAnsi="Times New Roman"/>
          <w:sz w:val="24"/>
          <w:szCs w:val="24"/>
          <w:lang w:val="lv-LV" w:eastAsia="en-GB"/>
        </w:rPr>
      </w:pPr>
      <w:bookmarkStart w:id="9" w:name="_Hlk168498285"/>
      <w:r w:rsidRPr="008E5CE8">
        <w:rPr>
          <w:rFonts w:ascii="Times New Roman" w:eastAsia="Times New Roman" w:hAnsi="Times New Roman"/>
          <w:sz w:val="24"/>
          <w:szCs w:val="24"/>
          <w:lang w:val="lv-LV" w:eastAsia="en-GB"/>
        </w:rPr>
        <w:t>Ziņojumā analizē Sākotnējās apspriešanas laikā saņemtos komentārus un priekšlikumus, iekļaujot Ziņojumā pārskatu par sabiedrības iesniegtajiem priekšlikumiem un norādot, kā tie ņemti vērā. Nepieciešamības gadījumā Ziņojumā sniedz vērtējumu par plānotajiem risinājumiem problēmsituāciju novēršanai.</w:t>
      </w:r>
    </w:p>
    <w:p w14:paraId="114F3CED" w14:textId="77777777" w:rsidR="008E5CE8" w:rsidRPr="008E5CE8" w:rsidRDefault="00050D80" w:rsidP="008E5CE8">
      <w:pPr>
        <w:widowControl/>
        <w:numPr>
          <w:ilvl w:val="0"/>
          <w:numId w:val="1"/>
        </w:numPr>
        <w:tabs>
          <w:tab w:val="left" w:pos="3290"/>
        </w:tabs>
        <w:spacing w:before="120" w:after="120" w:line="240" w:lineRule="auto"/>
        <w:ind w:left="284" w:hanging="284"/>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 xml:space="preserve">Prasības Ziņojuma sabiedriskajai apspriešanai nosaka Novērtējuma likums un Noteikumi Nr. 18. Birojs atkārtoti minētās prasības neuzskaita, bet vienlaikus vērš uzmanību, ka sabiedrības līdzdalība un tās veicināšana ir viens no IVN pamatuzdevumiem, tādēļ </w:t>
      </w:r>
      <w:r w:rsidRPr="008E5CE8">
        <w:rPr>
          <w:rFonts w:ascii="Times New Roman" w:eastAsia="Times New Roman" w:hAnsi="Times New Roman"/>
          <w:sz w:val="24"/>
          <w:szCs w:val="24"/>
          <w:lang w:val="lv-LV" w:eastAsia="en-GB"/>
        </w:rPr>
        <w:lastRenderedPageBreak/>
        <w:t>Novērtējuma likuma 17. panta sestā daļa noteic, ka ierosinātāja pienākums ir noskaidrot sabiedrības viedokli, veicinot to iedzīvotāju līdzdalību sabiedriskajā apspriešanā, kurus var ietekmēt Paredzētā darbība, vai aptaujājot šos iedzīvotājus.</w:t>
      </w:r>
    </w:p>
    <w:p w14:paraId="27E114E2" w14:textId="77777777" w:rsidR="008E5CE8" w:rsidRPr="008E5CE8" w:rsidRDefault="00050D80" w:rsidP="008E5CE8">
      <w:pPr>
        <w:widowControl/>
        <w:numPr>
          <w:ilvl w:val="0"/>
          <w:numId w:val="1"/>
        </w:numPr>
        <w:tabs>
          <w:tab w:val="left" w:pos="3290"/>
        </w:tabs>
        <w:spacing w:before="120" w:after="120" w:line="240" w:lineRule="auto"/>
        <w:ind w:left="284" w:hanging="284"/>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Ierosinātājai jānodrošina Ziņojuma sabiedriskā apspriešana Novērtējuma likuma un Noteikumos Nr. 18 noteiktajā kārtībā. Ziņojuma sabiedriskās apspriešanas sanāksme nodrošināma hibrīdformā</w:t>
      </w:r>
      <w:r>
        <w:rPr>
          <w:rFonts w:ascii="Times New Roman" w:eastAsia="Times New Roman" w:hAnsi="Times New Roman"/>
          <w:sz w:val="24"/>
          <w:szCs w:val="24"/>
          <w:vertAlign w:val="superscript"/>
          <w:lang w:val="lv-LV" w:eastAsia="en-GB"/>
        </w:rPr>
        <w:footnoteReference w:id="12"/>
      </w:r>
      <w:r w:rsidRPr="008E5CE8">
        <w:rPr>
          <w:rFonts w:ascii="Times New Roman" w:eastAsia="Times New Roman" w:hAnsi="Times New Roman"/>
          <w:sz w:val="24"/>
          <w:szCs w:val="24"/>
          <w:lang w:val="lv-LV" w:eastAsia="en-GB"/>
        </w:rPr>
        <w:t>.</w:t>
      </w:r>
    </w:p>
    <w:p w14:paraId="00EAF234" w14:textId="77777777" w:rsidR="008E5CE8" w:rsidRPr="008E5CE8" w:rsidRDefault="00050D80" w:rsidP="008E5CE8">
      <w:pPr>
        <w:widowControl/>
        <w:numPr>
          <w:ilvl w:val="0"/>
          <w:numId w:val="1"/>
        </w:numPr>
        <w:tabs>
          <w:tab w:val="left" w:pos="3290"/>
        </w:tabs>
        <w:spacing w:before="120" w:after="120" w:line="240" w:lineRule="auto"/>
        <w:ind w:left="284" w:hanging="284"/>
        <w:jc w:val="both"/>
        <w:rPr>
          <w:rFonts w:ascii="Times New Roman" w:eastAsia="Times New Roman" w:hAnsi="Times New Roman"/>
          <w:sz w:val="24"/>
          <w:szCs w:val="24"/>
          <w:lang w:val="lv-LV" w:eastAsia="en-GB"/>
        </w:rPr>
      </w:pPr>
      <w:r w:rsidRPr="008E5CE8">
        <w:rPr>
          <w:rFonts w:ascii="Times New Roman" w:eastAsia="Times New Roman" w:hAnsi="Times New Roman"/>
          <w:sz w:val="24"/>
          <w:szCs w:val="24"/>
          <w:lang w:val="lv-LV" w:eastAsia="en-GB"/>
        </w:rPr>
        <w:t>Ziņojuma publiskojamā versijā neiekļauj ierobežotas pieejamības informāciju (piemēram, par atsevišķām dabas vērtībām, ja attiecināms), un tās sagatavošanā jāievēro personas datu aizsardzības prasības. Ziņojuma publiskojamā pārskatā, kas Ziņojumā iekļaujams saskaņā ar Novērtējuma likuma 17. panta trešo un septīto daļu, fiziskas personas datu apstrāde veicama tādā veidā, lai datus nav iespējams saistīt ar konkrētu datu subjektu bez papildu informācijas izmantošanas (tie pseidonimizējami), vienlaikus Birojā šis pārskats iesniedzams arī bez pseidonimizācijas – veidā, kas ļauj secināt gan to, vai attiecīgais iesniegums vispār bijis saņemts un vērtēts, gan pilnvērtīgi izprast pašu priekšlikumu un to, kā tas ņemts vērā.</w:t>
      </w:r>
    </w:p>
    <w:bookmarkEnd w:id="9"/>
    <w:p w14:paraId="505A6F09" w14:textId="77777777" w:rsidR="008E5CE8" w:rsidRPr="008E5CE8" w:rsidRDefault="008E5CE8" w:rsidP="008E5CE8">
      <w:pPr>
        <w:widowControl/>
        <w:tabs>
          <w:tab w:val="left" w:pos="3290"/>
        </w:tabs>
        <w:spacing w:after="0" w:line="240" w:lineRule="auto"/>
        <w:ind w:left="-142" w:firstLine="142"/>
        <w:rPr>
          <w:rFonts w:ascii="Times New Roman" w:eastAsia="Times New Roman" w:hAnsi="Times New Roman"/>
          <w:noProof/>
          <w:sz w:val="24"/>
          <w:szCs w:val="24"/>
          <w:lang w:val="lv-LV"/>
        </w:rPr>
      </w:pPr>
    </w:p>
    <w:p w14:paraId="38628450" w14:textId="77777777" w:rsidR="008E5CE8" w:rsidRDefault="008E5CE8" w:rsidP="008E5CE8">
      <w:pPr>
        <w:widowControl/>
        <w:tabs>
          <w:tab w:val="left" w:pos="3290"/>
        </w:tabs>
        <w:spacing w:after="0" w:line="240" w:lineRule="auto"/>
        <w:ind w:left="-142" w:firstLine="142"/>
        <w:rPr>
          <w:rFonts w:ascii="Times New Roman" w:eastAsia="Times New Roman" w:hAnsi="Times New Roman"/>
          <w:noProof/>
          <w:sz w:val="24"/>
          <w:szCs w:val="24"/>
          <w:lang w:val="lv-LV"/>
        </w:rPr>
      </w:pPr>
    </w:p>
    <w:p w14:paraId="367AC06A" w14:textId="77777777" w:rsidR="008E5CE8" w:rsidRDefault="008E5CE8" w:rsidP="008E5CE8">
      <w:pPr>
        <w:widowControl/>
        <w:tabs>
          <w:tab w:val="left" w:pos="3290"/>
        </w:tabs>
        <w:spacing w:after="0" w:line="240" w:lineRule="auto"/>
        <w:ind w:left="-142" w:firstLine="142"/>
        <w:rPr>
          <w:rFonts w:ascii="Times New Roman" w:eastAsia="Times New Roman" w:hAnsi="Times New Roman"/>
          <w:noProof/>
          <w:sz w:val="24"/>
          <w:szCs w:val="24"/>
          <w:lang w:val="lv-LV"/>
        </w:rPr>
      </w:pPr>
    </w:p>
    <w:p w14:paraId="1E3463B3" w14:textId="77777777" w:rsidR="008E5CE8" w:rsidRPr="008E5CE8" w:rsidRDefault="00050D80" w:rsidP="008E5CE8">
      <w:pPr>
        <w:widowControl/>
        <w:tabs>
          <w:tab w:val="left" w:pos="3290"/>
        </w:tabs>
        <w:spacing w:after="0" w:line="240" w:lineRule="auto"/>
        <w:ind w:left="-142" w:firstLine="142"/>
        <w:rPr>
          <w:rFonts w:ascii="Times New Roman" w:eastAsia="Times New Roman" w:hAnsi="Times New Roman"/>
          <w:sz w:val="24"/>
          <w:szCs w:val="24"/>
          <w:lang w:val="lv-LV"/>
        </w:rPr>
      </w:pPr>
      <w:r w:rsidRPr="008E5CE8">
        <w:rPr>
          <w:rFonts w:ascii="Times New Roman" w:eastAsia="Times New Roman" w:hAnsi="Times New Roman"/>
          <w:noProof/>
          <w:sz w:val="24"/>
          <w:szCs w:val="24"/>
          <w:lang w:val="lv-LV"/>
        </w:rPr>
        <w:t>Direktore</w:t>
      </w:r>
      <w:r w:rsidRPr="008E5CE8">
        <w:rPr>
          <w:rFonts w:ascii="Times New Roman" w:eastAsia="Times New Roman" w:hAnsi="Times New Roman"/>
          <w:sz w:val="24"/>
          <w:szCs w:val="24"/>
          <w:lang w:val="lv-LV"/>
        </w:rPr>
        <w:t xml:space="preserve">  </w:t>
      </w:r>
      <w:r w:rsidRPr="008E5CE8">
        <w:rPr>
          <w:rFonts w:ascii="Times New Roman" w:eastAsia="Times New Roman" w:hAnsi="Times New Roman"/>
          <w:sz w:val="24"/>
          <w:szCs w:val="24"/>
          <w:lang w:val="lv-LV"/>
        </w:rPr>
        <w:tab/>
      </w:r>
      <w:r w:rsidRPr="008E5CE8">
        <w:rPr>
          <w:rFonts w:ascii="Times New Roman" w:eastAsia="Times New Roman" w:hAnsi="Times New Roman"/>
          <w:sz w:val="24"/>
          <w:szCs w:val="24"/>
          <w:lang w:val="lv-LV"/>
        </w:rPr>
        <w:tab/>
        <w:t>(</w:t>
      </w:r>
      <w:r w:rsidRPr="008E5CE8">
        <w:rPr>
          <w:rFonts w:ascii="Times New Roman" w:eastAsia="Times New Roman" w:hAnsi="Times New Roman"/>
          <w:i/>
          <w:iCs/>
          <w:sz w:val="24"/>
          <w:szCs w:val="24"/>
          <w:lang w:val="lv-LV"/>
        </w:rPr>
        <w:t>paraksts*</w:t>
      </w:r>
      <w:r w:rsidRPr="008E5CE8">
        <w:rPr>
          <w:rFonts w:ascii="Times New Roman" w:eastAsia="Times New Roman" w:hAnsi="Times New Roman"/>
          <w:sz w:val="24"/>
          <w:szCs w:val="24"/>
          <w:lang w:val="lv-LV"/>
        </w:rPr>
        <w:t xml:space="preserve">) </w:t>
      </w:r>
      <w:r w:rsidRPr="008E5CE8">
        <w:rPr>
          <w:rFonts w:ascii="Times New Roman" w:eastAsia="Times New Roman" w:hAnsi="Times New Roman"/>
          <w:sz w:val="24"/>
          <w:szCs w:val="24"/>
          <w:lang w:val="lv-LV"/>
        </w:rPr>
        <w:tab/>
      </w:r>
      <w:r w:rsidRPr="008E5CE8">
        <w:rPr>
          <w:rFonts w:ascii="Times New Roman" w:eastAsia="Times New Roman" w:hAnsi="Times New Roman"/>
          <w:sz w:val="24"/>
          <w:szCs w:val="24"/>
          <w:lang w:val="lv-LV"/>
        </w:rPr>
        <w:tab/>
      </w:r>
      <w:r w:rsidRPr="008E5CE8">
        <w:rPr>
          <w:rFonts w:ascii="Times New Roman" w:eastAsia="Times New Roman" w:hAnsi="Times New Roman"/>
          <w:sz w:val="24"/>
          <w:szCs w:val="24"/>
          <w:lang w:val="lv-LV"/>
        </w:rPr>
        <w:tab/>
        <w:t>D. Avdejanova</w:t>
      </w:r>
    </w:p>
    <w:p w14:paraId="5AE17E8D" w14:textId="77777777" w:rsidR="008E5CE8" w:rsidRPr="008E5CE8" w:rsidRDefault="008E5CE8" w:rsidP="008E5CE8">
      <w:pPr>
        <w:widowControl/>
        <w:tabs>
          <w:tab w:val="left" w:pos="3290"/>
        </w:tabs>
        <w:spacing w:after="0" w:line="240" w:lineRule="auto"/>
        <w:ind w:left="-142" w:firstLine="142"/>
        <w:jc w:val="both"/>
        <w:rPr>
          <w:rFonts w:ascii="Times New Roman" w:eastAsia="Times New Roman" w:hAnsi="Times New Roman"/>
          <w:color w:val="000000"/>
          <w:sz w:val="24"/>
          <w:szCs w:val="24"/>
          <w:lang w:val="lv-LV"/>
        </w:rPr>
      </w:pPr>
    </w:p>
    <w:p w14:paraId="17C0CDBA" w14:textId="77777777" w:rsidR="00A40F99" w:rsidRDefault="00A40F99" w:rsidP="00A40F99">
      <w:pPr>
        <w:widowControl/>
        <w:spacing w:after="0" w:line="240" w:lineRule="auto"/>
        <w:ind w:left="-142" w:firstLine="142"/>
        <w:jc w:val="both"/>
        <w:rPr>
          <w:rFonts w:ascii="Times New Roman" w:eastAsia="Times New Roman" w:hAnsi="Times New Roman"/>
          <w:color w:val="000000"/>
          <w:sz w:val="24"/>
          <w:szCs w:val="24"/>
          <w:lang w:val="lv-LV"/>
        </w:rPr>
      </w:pPr>
    </w:p>
    <w:p w14:paraId="5AA11EA1" w14:textId="77777777" w:rsidR="00A40F99" w:rsidRDefault="00050D80" w:rsidP="00A40F99">
      <w:pPr>
        <w:widowControl/>
        <w:spacing w:after="0" w:line="240" w:lineRule="auto"/>
        <w:ind w:left="-142" w:firstLine="142"/>
        <w:jc w:val="both"/>
        <w:rPr>
          <w:rFonts w:ascii="Times New Roman" w:eastAsia="Times New Roman" w:hAnsi="Times New Roman"/>
          <w:color w:val="000000"/>
          <w:sz w:val="24"/>
          <w:szCs w:val="24"/>
          <w:lang w:val="lv-LV"/>
        </w:rPr>
      </w:pPr>
      <w:r w:rsidRPr="00EE0E5E">
        <w:rPr>
          <w:rFonts w:ascii="Times New Roman" w:eastAsia="Times New Roman" w:hAnsi="Times New Roman"/>
          <w:color w:val="000000"/>
          <w:sz w:val="24"/>
          <w:szCs w:val="24"/>
          <w:lang w:val="lv-LV"/>
        </w:rPr>
        <w:t>*</w:t>
      </w:r>
      <w:r w:rsidRPr="001B2EAC">
        <w:rPr>
          <w:rFonts w:ascii="Times New Roman" w:eastAsia="Times New Roman" w:hAnsi="Times New Roman"/>
          <w:i/>
          <w:iCs/>
          <w:color w:val="000000"/>
          <w:sz w:val="24"/>
          <w:szCs w:val="24"/>
          <w:lang w:val="lv-LV"/>
        </w:rPr>
        <w:t>Dokuments ir parakstīts ar drošu elektronisko parakstu</w:t>
      </w:r>
      <w:r w:rsidR="003E15CB" w:rsidRPr="001C64EC">
        <w:rPr>
          <w:lang w:val="lv-LV"/>
        </w:rPr>
        <w:t xml:space="preserve"> </w:t>
      </w:r>
      <w:r w:rsidR="003E15CB" w:rsidRPr="003E15CB">
        <w:rPr>
          <w:rFonts w:ascii="Times New Roman" w:eastAsia="Times New Roman" w:hAnsi="Times New Roman"/>
          <w:i/>
          <w:iCs/>
          <w:color w:val="000000"/>
          <w:sz w:val="24"/>
          <w:szCs w:val="24"/>
          <w:lang w:val="lv-LV"/>
        </w:rPr>
        <w:t>un satur laika zīmogu</w:t>
      </w:r>
    </w:p>
    <w:p w14:paraId="7220D9F5" w14:textId="77777777" w:rsidR="00A40F99" w:rsidRDefault="00A40F99" w:rsidP="00A40F99">
      <w:pPr>
        <w:widowControl/>
        <w:spacing w:after="0" w:line="240" w:lineRule="auto"/>
        <w:ind w:left="-142" w:firstLine="142"/>
        <w:jc w:val="both"/>
        <w:rPr>
          <w:rFonts w:ascii="Times New Roman" w:eastAsia="Times New Roman" w:hAnsi="Times New Roman"/>
          <w:color w:val="000000"/>
          <w:sz w:val="24"/>
          <w:szCs w:val="24"/>
          <w:lang w:val="lv-LV"/>
        </w:rPr>
      </w:pPr>
    </w:p>
    <w:p w14:paraId="7156732D" w14:textId="77777777" w:rsidR="003E15CB" w:rsidRDefault="003E15CB" w:rsidP="003E15CB">
      <w:pPr>
        <w:pStyle w:val="Header"/>
        <w:tabs>
          <w:tab w:val="left" w:pos="720"/>
        </w:tabs>
        <w:ind w:right="11"/>
        <w:rPr>
          <w:rFonts w:ascii="Times New Roman" w:hAnsi="Times New Roman"/>
          <w:sz w:val="24"/>
          <w:szCs w:val="24"/>
          <w:lang w:val="lv-LV"/>
        </w:rPr>
      </w:pPr>
    </w:p>
    <w:p w14:paraId="1C8D8A33" w14:textId="77777777" w:rsidR="008E5CE8" w:rsidRDefault="008E5CE8" w:rsidP="003E15CB">
      <w:pPr>
        <w:pStyle w:val="Header"/>
        <w:tabs>
          <w:tab w:val="left" w:pos="720"/>
        </w:tabs>
        <w:ind w:right="11"/>
        <w:rPr>
          <w:rFonts w:ascii="Times New Roman" w:hAnsi="Times New Roman"/>
          <w:sz w:val="24"/>
          <w:szCs w:val="24"/>
          <w:lang w:val="lv-LV"/>
        </w:rPr>
      </w:pPr>
    </w:p>
    <w:p w14:paraId="7CFB7BF3" w14:textId="77777777" w:rsidR="008E5CE8" w:rsidRPr="003E15CB" w:rsidRDefault="008E5CE8" w:rsidP="003E15CB">
      <w:pPr>
        <w:pStyle w:val="Header"/>
        <w:tabs>
          <w:tab w:val="left" w:pos="720"/>
        </w:tabs>
        <w:ind w:right="11"/>
        <w:rPr>
          <w:rFonts w:ascii="Times New Roman" w:hAnsi="Times New Roman"/>
          <w:sz w:val="24"/>
          <w:szCs w:val="24"/>
          <w:lang w:val="lv-LV"/>
        </w:rPr>
      </w:pPr>
    </w:p>
    <w:p w14:paraId="56CF06AC" w14:textId="77777777" w:rsidR="00FE4E41" w:rsidRPr="008E5CE8" w:rsidRDefault="00050D80" w:rsidP="008E5CE8">
      <w:pPr>
        <w:pStyle w:val="Header"/>
        <w:tabs>
          <w:tab w:val="left" w:pos="720"/>
        </w:tabs>
        <w:ind w:right="11"/>
        <w:rPr>
          <w:rFonts w:ascii="Times New Roman" w:hAnsi="Times New Roman"/>
          <w:lang w:val="lv-LV"/>
        </w:rPr>
      </w:pPr>
      <w:r w:rsidRPr="008E5CE8">
        <w:rPr>
          <w:rFonts w:ascii="Times New Roman" w:hAnsi="Times New Roman"/>
          <w:noProof/>
          <w:lang w:val="lv-LV"/>
        </w:rPr>
        <w:t>Māris Ikaunieks</w:t>
      </w:r>
      <w:r w:rsidRPr="008E5CE8">
        <w:rPr>
          <w:rFonts w:ascii="Times New Roman" w:hAnsi="Times New Roman"/>
          <w:lang w:val="lv-LV"/>
        </w:rPr>
        <w:t xml:space="preserve">, </w:t>
      </w:r>
      <w:hyperlink r:id="rId7" w:history="1">
        <w:r w:rsidR="001C64EC" w:rsidRPr="00FA7C6C">
          <w:rPr>
            <w:rStyle w:val="Hyperlink"/>
            <w:rFonts w:ascii="Times New Roman" w:hAnsi="Times New Roman"/>
            <w:noProof/>
            <w:lang w:val="lv-LV"/>
          </w:rPr>
          <w:t>maris.ikaunieks@vpvb.gov.lv</w:t>
        </w:r>
      </w:hyperlink>
      <w:r w:rsidR="001C64EC">
        <w:rPr>
          <w:rFonts w:ascii="Times New Roman" w:hAnsi="Times New Roman"/>
          <w:noProof/>
          <w:lang w:val="lv-LV"/>
        </w:rPr>
        <w:t xml:space="preserve"> </w:t>
      </w:r>
    </w:p>
    <w:sectPr w:rsidR="00FE4E41" w:rsidRPr="008E5CE8" w:rsidSect="008E5CE8">
      <w:footerReference w:type="default" r:id="rId8"/>
      <w:headerReference w:type="first" r:id="rId9"/>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0E7C" w14:textId="77777777" w:rsidR="00050D80" w:rsidRDefault="00050D80">
      <w:pPr>
        <w:spacing w:after="0" w:line="240" w:lineRule="auto"/>
      </w:pPr>
      <w:r>
        <w:separator/>
      </w:r>
    </w:p>
  </w:endnote>
  <w:endnote w:type="continuationSeparator" w:id="0">
    <w:p w14:paraId="2177439A" w14:textId="77777777" w:rsidR="00050D80" w:rsidRDefault="0005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677347"/>
      <w:docPartObj>
        <w:docPartGallery w:val="Page Numbers (Bottom of Page)"/>
        <w:docPartUnique/>
      </w:docPartObj>
    </w:sdtPr>
    <w:sdtEndPr>
      <w:rPr>
        <w:rFonts w:ascii="Times New Roman" w:hAnsi="Times New Roman"/>
        <w:noProof/>
      </w:rPr>
    </w:sdtEndPr>
    <w:sdtContent>
      <w:p w14:paraId="19BAA4A3" w14:textId="77777777" w:rsidR="00A40F99" w:rsidRPr="008E5CE8" w:rsidRDefault="00050D80" w:rsidP="008E5CE8">
        <w:pPr>
          <w:pStyle w:val="Footer"/>
          <w:jc w:val="center"/>
          <w:rPr>
            <w:rFonts w:ascii="Times New Roman" w:hAnsi="Times New Roman"/>
          </w:rPr>
        </w:pPr>
        <w:r w:rsidRPr="00E87EBC">
          <w:rPr>
            <w:rFonts w:ascii="Times New Roman" w:hAnsi="Times New Roman"/>
          </w:rPr>
          <w:fldChar w:fldCharType="begin"/>
        </w:r>
        <w:r w:rsidRPr="00E87EBC">
          <w:rPr>
            <w:rFonts w:ascii="Times New Roman" w:hAnsi="Times New Roman"/>
          </w:rPr>
          <w:instrText xml:space="preserve"> PAGE   \* MERGEFORMAT </w:instrText>
        </w:r>
        <w:r w:rsidRPr="00E87EBC">
          <w:rPr>
            <w:rFonts w:ascii="Times New Roman" w:hAnsi="Times New Roman"/>
          </w:rPr>
          <w:fldChar w:fldCharType="separate"/>
        </w:r>
        <w:r>
          <w:rPr>
            <w:rFonts w:ascii="Times New Roman" w:hAnsi="Times New Roman"/>
            <w:noProof/>
          </w:rPr>
          <w:t>13</w:t>
        </w:r>
        <w:r w:rsidRPr="00E87EBC">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A8AE5" w14:textId="77777777" w:rsidR="008E5CE8" w:rsidRDefault="00050D80">
      <w:pPr>
        <w:spacing w:after="0" w:line="240" w:lineRule="auto"/>
      </w:pPr>
      <w:r>
        <w:separator/>
      </w:r>
    </w:p>
  </w:footnote>
  <w:footnote w:type="continuationSeparator" w:id="0">
    <w:p w14:paraId="47D56F7F" w14:textId="77777777" w:rsidR="008E5CE8" w:rsidRDefault="00050D80">
      <w:pPr>
        <w:spacing w:after="0" w:line="240" w:lineRule="auto"/>
      </w:pPr>
      <w:r>
        <w:continuationSeparator/>
      </w:r>
    </w:p>
  </w:footnote>
  <w:footnote w:id="1">
    <w:p w14:paraId="3A4FA04E" w14:textId="77777777" w:rsidR="008E5CE8" w:rsidRPr="00635F86" w:rsidRDefault="00050D80" w:rsidP="008E5CE8">
      <w:pPr>
        <w:spacing w:after="0" w:line="240" w:lineRule="auto"/>
        <w:jc w:val="both"/>
        <w:rPr>
          <w:rFonts w:ascii="Times New Roman" w:hAnsi="Times New Roman"/>
          <w:sz w:val="20"/>
          <w:szCs w:val="20"/>
          <w:lang w:val="lv-LV"/>
        </w:rPr>
      </w:pPr>
      <w:r w:rsidRPr="00635F86">
        <w:rPr>
          <w:rStyle w:val="FootnoteReference"/>
          <w:rFonts w:ascii="Times New Roman" w:hAnsi="Times New Roman"/>
          <w:sz w:val="20"/>
          <w:szCs w:val="20"/>
          <w:lang w:val="lv-LV"/>
        </w:rPr>
        <w:footnoteRef/>
      </w:r>
      <w:r w:rsidRPr="00635F86">
        <w:rPr>
          <w:rFonts w:ascii="Times New Roman" w:hAnsi="Times New Roman"/>
          <w:sz w:val="20"/>
          <w:szCs w:val="20"/>
          <w:lang w:val="lv-LV"/>
        </w:rPr>
        <w:t xml:space="preserve"> Atbilstoši 2024. gada </w:t>
      </w:r>
      <w:r>
        <w:rPr>
          <w:rFonts w:ascii="Times New Roman" w:hAnsi="Times New Roman"/>
          <w:sz w:val="20"/>
          <w:szCs w:val="20"/>
          <w:lang w:val="lv-LV"/>
        </w:rPr>
        <w:t>5. jūnija</w:t>
      </w:r>
      <w:r w:rsidRPr="00635F86">
        <w:rPr>
          <w:rFonts w:ascii="Times New Roman" w:hAnsi="Times New Roman"/>
          <w:sz w:val="20"/>
          <w:szCs w:val="20"/>
          <w:lang w:val="lv-LV"/>
        </w:rPr>
        <w:t xml:space="preserve"> vēstulē Nr.</w:t>
      </w:r>
      <w:r>
        <w:rPr>
          <w:rFonts w:ascii="Times New Roman" w:hAnsi="Times New Roman"/>
          <w:sz w:val="20"/>
          <w:szCs w:val="20"/>
          <w:lang w:val="lv-LV"/>
        </w:rPr>
        <w:t> </w:t>
      </w:r>
      <w:r w:rsidRPr="00635F86">
        <w:rPr>
          <w:rFonts w:ascii="Times New Roman" w:hAnsi="Times New Roman"/>
          <w:sz w:val="20"/>
          <w:szCs w:val="20"/>
          <w:lang w:val="lv-LV"/>
        </w:rPr>
        <w:t xml:space="preserve">b/n </w:t>
      </w:r>
      <w:r>
        <w:rPr>
          <w:rFonts w:ascii="Times New Roman" w:hAnsi="Times New Roman"/>
          <w:sz w:val="20"/>
          <w:szCs w:val="20"/>
          <w:lang w:val="lv-LV"/>
        </w:rPr>
        <w:t>“</w:t>
      </w:r>
      <w:r w:rsidRPr="009F09E7">
        <w:rPr>
          <w:rFonts w:ascii="Times New Roman" w:hAnsi="Times New Roman"/>
          <w:sz w:val="20"/>
          <w:szCs w:val="20"/>
          <w:lang w:val="lv-LV"/>
        </w:rPr>
        <w:t>Par IVN Programmas izsniegšanu</w:t>
      </w:r>
      <w:r>
        <w:rPr>
          <w:rFonts w:ascii="Times New Roman" w:hAnsi="Times New Roman"/>
          <w:sz w:val="20"/>
          <w:szCs w:val="20"/>
          <w:lang w:val="lv-LV"/>
        </w:rPr>
        <w:t xml:space="preserve">” </w:t>
      </w:r>
      <w:r w:rsidRPr="00635F86">
        <w:rPr>
          <w:rFonts w:ascii="Times New Roman" w:hAnsi="Times New Roman"/>
          <w:sz w:val="20"/>
          <w:szCs w:val="20"/>
          <w:lang w:val="lv-LV"/>
        </w:rPr>
        <w:t>sniegtajai informācijai – SIA “Firma L4”</w:t>
      </w:r>
      <w:r>
        <w:rPr>
          <w:rFonts w:ascii="Times New Roman" w:hAnsi="Times New Roman"/>
          <w:sz w:val="20"/>
          <w:szCs w:val="20"/>
          <w:lang w:val="lv-LV"/>
        </w:rPr>
        <w:t xml:space="preserve"> pamatojoties uz</w:t>
      </w:r>
      <w:r w:rsidRPr="009F09E7">
        <w:t xml:space="preserve"> </w:t>
      </w:r>
      <w:r w:rsidRPr="009F09E7">
        <w:rPr>
          <w:rFonts w:ascii="Times New Roman" w:hAnsi="Times New Roman"/>
          <w:sz w:val="20"/>
          <w:szCs w:val="20"/>
          <w:lang w:val="lv-LV"/>
        </w:rPr>
        <w:t>pakalpojuma līgum</w:t>
      </w:r>
      <w:r>
        <w:rPr>
          <w:rFonts w:ascii="Times New Roman" w:hAnsi="Times New Roman"/>
          <w:sz w:val="20"/>
          <w:szCs w:val="20"/>
          <w:lang w:val="lv-LV"/>
        </w:rPr>
        <w:t>u</w:t>
      </w:r>
      <w:r w:rsidRPr="009F09E7">
        <w:rPr>
          <w:rFonts w:ascii="Times New Roman" w:hAnsi="Times New Roman"/>
          <w:sz w:val="20"/>
          <w:szCs w:val="20"/>
          <w:lang w:val="lv-LV"/>
        </w:rPr>
        <w:t xml:space="preserve"> pārstāv SIA </w:t>
      </w:r>
      <w:r>
        <w:rPr>
          <w:rFonts w:ascii="Times New Roman" w:hAnsi="Times New Roman"/>
          <w:sz w:val="20"/>
          <w:szCs w:val="20"/>
          <w:lang w:val="lv-LV"/>
        </w:rPr>
        <w:t>“</w:t>
      </w:r>
      <w:r w:rsidRPr="009F09E7">
        <w:rPr>
          <w:rFonts w:ascii="Times New Roman" w:hAnsi="Times New Roman"/>
          <w:sz w:val="20"/>
          <w:szCs w:val="20"/>
          <w:lang w:val="lv-LV"/>
        </w:rPr>
        <w:t>DSG Karjeri</w:t>
      </w:r>
      <w:r>
        <w:rPr>
          <w:rFonts w:ascii="Times New Roman" w:hAnsi="Times New Roman"/>
          <w:sz w:val="20"/>
          <w:szCs w:val="20"/>
          <w:lang w:val="lv-LV"/>
        </w:rPr>
        <w:t>”</w:t>
      </w:r>
      <w:r w:rsidRPr="009F09E7">
        <w:rPr>
          <w:rFonts w:ascii="Times New Roman" w:hAnsi="Times New Roman"/>
          <w:sz w:val="20"/>
          <w:szCs w:val="20"/>
          <w:lang w:val="lv-LV"/>
        </w:rPr>
        <w:t xml:space="preserve"> IVN procedūrā paredzētajai darbībai derīgo izrakteņu (dolomīta) ieguve atradnē “Iecava II” Salgales pagastā, Jelgavas novadā</w:t>
      </w:r>
      <w:r>
        <w:rPr>
          <w:rFonts w:ascii="Times New Roman" w:hAnsi="Times New Roman"/>
          <w:sz w:val="20"/>
          <w:szCs w:val="20"/>
          <w:lang w:val="lv-LV"/>
        </w:rPr>
        <w:t xml:space="preserve"> (Biroja reģ. Nr.</w:t>
      </w:r>
      <w:r w:rsidRPr="001C64EC">
        <w:rPr>
          <w:lang w:val="lv-LV"/>
        </w:rPr>
        <w:t xml:space="preserve"> </w:t>
      </w:r>
      <w:r w:rsidRPr="009F09E7">
        <w:rPr>
          <w:rFonts w:ascii="Times New Roman" w:hAnsi="Times New Roman"/>
          <w:sz w:val="20"/>
          <w:szCs w:val="20"/>
          <w:lang w:val="lv-LV"/>
        </w:rPr>
        <w:t>5-01/1690/2024</w:t>
      </w:r>
      <w:r>
        <w:rPr>
          <w:rFonts w:ascii="Times New Roman" w:hAnsi="Times New Roman"/>
          <w:sz w:val="20"/>
          <w:szCs w:val="20"/>
          <w:lang w:val="lv-LV"/>
        </w:rPr>
        <w:t>)</w:t>
      </w:r>
      <w:r w:rsidRPr="00635F86">
        <w:rPr>
          <w:rFonts w:ascii="Times New Roman" w:hAnsi="Times New Roman"/>
          <w:sz w:val="20"/>
          <w:szCs w:val="20"/>
          <w:lang w:val="lv-LV"/>
        </w:rPr>
        <w:t>.</w:t>
      </w:r>
    </w:p>
  </w:footnote>
  <w:footnote w:id="2">
    <w:p w14:paraId="1BC593B3" w14:textId="77777777" w:rsidR="008E5CE8" w:rsidRPr="001C64EC" w:rsidRDefault="00050D80" w:rsidP="001C64EC">
      <w:pPr>
        <w:pStyle w:val="FootnoteText"/>
        <w:jc w:val="both"/>
        <w:rPr>
          <w:rFonts w:asciiTheme="majorBidi" w:hAnsiTheme="majorBidi" w:cstheme="majorBidi"/>
          <w:lang w:val="lv-LV"/>
        </w:rPr>
      </w:pPr>
      <w:r w:rsidRPr="001C64EC">
        <w:rPr>
          <w:rStyle w:val="FootnoteReference"/>
          <w:rFonts w:asciiTheme="majorBidi" w:hAnsiTheme="majorBidi" w:cstheme="majorBidi"/>
        </w:rPr>
        <w:footnoteRef/>
      </w:r>
      <w:r w:rsidRPr="001C64EC">
        <w:rPr>
          <w:rFonts w:asciiTheme="majorBidi" w:hAnsiTheme="majorBidi" w:cstheme="majorBidi"/>
          <w:lang w:val="lv-LV"/>
        </w:rPr>
        <w:t xml:space="preserve"> </w:t>
      </w:r>
      <w:r w:rsidRPr="001C64EC">
        <w:rPr>
          <w:rFonts w:asciiTheme="majorBidi" w:hAnsiTheme="majorBidi" w:cstheme="majorBidi"/>
          <w:lang w:val="lv-LV"/>
        </w:rPr>
        <w:t xml:space="preserve">Atbilstoši VSIA </w:t>
      </w:r>
      <w:r w:rsidRPr="001C64EC">
        <w:rPr>
          <w:rFonts w:asciiTheme="majorBidi" w:hAnsiTheme="majorBidi" w:cstheme="majorBidi"/>
          <w:i/>
          <w:iCs/>
          <w:lang w:val="lv-LV"/>
        </w:rPr>
        <w:t>“Latvijas Vides, ģeoloģijas un meteoroloģijas centrs”</w:t>
      </w:r>
      <w:r w:rsidRPr="001C64EC">
        <w:rPr>
          <w:rFonts w:asciiTheme="majorBidi" w:hAnsiTheme="majorBidi" w:cstheme="majorBidi"/>
          <w:lang w:val="lv-LV"/>
        </w:rPr>
        <w:t xml:space="preserve"> </w:t>
      </w:r>
      <w:hyperlink r:id="rId1" w:tgtFrame="_blank" w:history="1">
        <w:r w:rsidRPr="001C64EC">
          <w:rPr>
            <w:rFonts w:asciiTheme="majorBidi" w:hAnsiTheme="majorBidi" w:cstheme="majorBidi"/>
            <w:lang w:val="lv-LV"/>
          </w:rPr>
          <w:t>Zemes dzīļu informācijas sistēmā </w:t>
        </w:r>
      </w:hyperlink>
      <w:r w:rsidRPr="001C64EC">
        <w:rPr>
          <w:rFonts w:asciiTheme="majorBidi" w:hAnsiTheme="majorBidi" w:cstheme="majorBidi"/>
          <w:lang w:val="lv-LV"/>
        </w:rPr>
        <w:t>iekļautai informācijai (</w:t>
      </w:r>
      <w:hyperlink r:id="rId2" w:history="1">
        <w:r w:rsidRPr="001C64EC">
          <w:rPr>
            <w:rFonts w:asciiTheme="majorBidi" w:hAnsiTheme="majorBidi" w:cstheme="majorBidi"/>
            <w:lang w:val="lv-LV"/>
          </w:rPr>
          <w:t>https://videscentrs.lvgmc.lv/lapas/zemes-dzilu-informacijas-sistema</w:t>
        </w:r>
      </w:hyperlink>
      <w:r w:rsidRPr="001C64EC">
        <w:rPr>
          <w:rFonts w:asciiTheme="majorBidi" w:hAnsiTheme="majorBidi" w:cstheme="majorBidi"/>
          <w:lang w:val="lv-LV"/>
        </w:rPr>
        <w:t>), skatīts 12.06.2024.</w:t>
      </w:r>
    </w:p>
  </w:footnote>
  <w:footnote w:id="3">
    <w:p w14:paraId="05BFF8D2" w14:textId="77777777" w:rsidR="008E5CE8" w:rsidRPr="001C64EC" w:rsidRDefault="00050D80" w:rsidP="001C64EC">
      <w:pPr>
        <w:spacing w:after="0" w:line="240" w:lineRule="auto"/>
        <w:jc w:val="both"/>
        <w:rPr>
          <w:rFonts w:asciiTheme="majorBidi" w:hAnsiTheme="majorBidi" w:cstheme="majorBidi"/>
          <w:sz w:val="20"/>
          <w:szCs w:val="20"/>
          <w:lang w:val="lv-LV"/>
        </w:rPr>
      </w:pPr>
      <w:r w:rsidRPr="001C64EC">
        <w:rPr>
          <w:rStyle w:val="FootnoteReference"/>
          <w:rFonts w:asciiTheme="majorBidi" w:hAnsiTheme="majorBidi" w:cstheme="majorBidi"/>
          <w:sz w:val="20"/>
          <w:szCs w:val="20"/>
        </w:rPr>
        <w:footnoteRef/>
      </w:r>
      <w:r w:rsidRPr="001C64EC">
        <w:rPr>
          <w:rFonts w:asciiTheme="majorBidi" w:hAnsiTheme="majorBidi" w:cstheme="majorBidi"/>
          <w:sz w:val="20"/>
          <w:szCs w:val="20"/>
          <w:lang w:val="lv-LV"/>
        </w:rPr>
        <w:t xml:space="preserve"> </w:t>
      </w:r>
      <w:r w:rsidRPr="001C64EC">
        <w:rPr>
          <w:rFonts w:asciiTheme="majorBidi" w:hAnsiTheme="majorBidi" w:cstheme="majorBidi"/>
          <w:sz w:val="20"/>
          <w:szCs w:val="20"/>
          <w:lang w:val="lv-LV"/>
        </w:rPr>
        <w:t xml:space="preserve">Autoceļa nosaukums pēc Ozolnieku novada teritorijas plānojuma grafiskās daļas leģendas: </w:t>
      </w:r>
      <w:hyperlink r:id="rId3" w:anchor="document_16413" w:history="1">
        <w:r w:rsidRPr="001C64EC">
          <w:rPr>
            <w:rFonts w:asciiTheme="majorBidi" w:hAnsiTheme="majorBidi" w:cstheme="majorBidi"/>
            <w:sz w:val="20"/>
            <w:szCs w:val="20"/>
            <w:lang w:val="lv-LV"/>
          </w:rPr>
          <w:t>https://geolatvija.lv/geo/tapis#document_16413</w:t>
        </w:r>
      </w:hyperlink>
      <w:r w:rsidRPr="001C64EC">
        <w:rPr>
          <w:rFonts w:asciiTheme="majorBidi" w:hAnsiTheme="majorBidi" w:cstheme="majorBidi"/>
          <w:sz w:val="20"/>
          <w:szCs w:val="20"/>
          <w:lang w:val="lv-LV"/>
        </w:rPr>
        <w:t xml:space="preserve"> (skatīta 12.06.2024.).</w:t>
      </w:r>
    </w:p>
  </w:footnote>
  <w:footnote w:id="4">
    <w:p w14:paraId="30B94C02" w14:textId="77777777" w:rsidR="008E5CE8" w:rsidRPr="001C64EC" w:rsidRDefault="00050D80" w:rsidP="001C64EC">
      <w:pPr>
        <w:pStyle w:val="FootnoteText"/>
        <w:jc w:val="both"/>
        <w:rPr>
          <w:rFonts w:asciiTheme="majorBidi" w:hAnsiTheme="majorBidi" w:cstheme="majorBidi"/>
          <w:lang w:val="lv-LV"/>
        </w:rPr>
      </w:pPr>
      <w:r w:rsidRPr="001C64EC">
        <w:rPr>
          <w:rStyle w:val="FootnoteReference"/>
          <w:rFonts w:asciiTheme="majorBidi" w:hAnsiTheme="majorBidi" w:cstheme="majorBidi"/>
          <w:lang w:val="lv-LV"/>
        </w:rPr>
        <w:footnoteRef/>
      </w:r>
      <w:r w:rsidRPr="001C64EC">
        <w:rPr>
          <w:rFonts w:asciiTheme="majorBidi" w:hAnsiTheme="majorBidi" w:cstheme="majorBidi"/>
          <w:lang w:val="lv-LV"/>
        </w:rPr>
        <w:t xml:space="preserve"> Vērtējot Ierosinātājas 2024. gada 16. februāra iesnieguma 1. attēlā norādīto informāciju par </w:t>
      </w:r>
      <w:r w:rsidRPr="001C64EC">
        <w:rPr>
          <w:rFonts w:asciiTheme="majorBidi" w:hAnsiTheme="majorBidi" w:cstheme="majorBidi"/>
          <w:bCs/>
          <w:lang w:val="lv-LV"/>
        </w:rPr>
        <w:t xml:space="preserve">Ieguves laukumu un pievedceļu novietojums </w:t>
      </w:r>
      <w:r w:rsidRPr="001C64EC">
        <w:rPr>
          <w:rFonts w:asciiTheme="majorBidi" w:hAnsiTheme="majorBidi" w:cstheme="majorBidi"/>
          <w:lang w:val="lv-LV"/>
        </w:rPr>
        <w:t xml:space="preserve">(Biroja reģ. Nr. 5-01/506) kopskatā ar Valsts zemes dienesta datu publicēšanas un e-pakalpojumu portālā Kadastrs.lv informāciju konstatējams, ka derīgo izrakteņu transportēšana tiks veikta izmantojot pašvaldības autoceļus </w:t>
      </w:r>
      <w:r w:rsidRPr="001C64EC">
        <w:rPr>
          <w:rFonts w:asciiTheme="majorBidi" w:hAnsiTheme="majorBidi" w:cstheme="majorBidi"/>
          <w:i/>
          <w:iCs/>
          <w:lang w:val="lv-LV"/>
        </w:rPr>
        <w:t>Oļas-Akmenscūciņas</w:t>
      </w:r>
      <w:r w:rsidRPr="001C64EC">
        <w:rPr>
          <w:rFonts w:asciiTheme="majorBidi" w:hAnsiTheme="majorBidi" w:cstheme="majorBidi"/>
          <w:lang w:val="lv-LV"/>
        </w:rPr>
        <w:t xml:space="preserve"> un  </w:t>
      </w:r>
      <w:r w:rsidRPr="001C64EC">
        <w:rPr>
          <w:rFonts w:asciiTheme="majorBidi" w:hAnsiTheme="majorBidi" w:cstheme="majorBidi"/>
          <w:i/>
          <w:iCs/>
          <w:lang w:val="lv-LV"/>
        </w:rPr>
        <w:t>Auniņu ceļu</w:t>
      </w:r>
      <w:r w:rsidRPr="001C64EC">
        <w:rPr>
          <w:rFonts w:asciiTheme="majorBidi" w:hAnsiTheme="majorBidi" w:cstheme="majorBidi"/>
          <w:lang w:val="lv-LV"/>
        </w:rPr>
        <w:t>, kuri izvietoti zemes vienībās ar kadastra apzīmējumiem 5478 008 0164 un 5478 008 0166 (tīmekļvietne www.kadastrs.lv skatīta 12.06.2024.).</w:t>
      </w:r>
    </w:p>
  </w:footnote>
  <w:footnote w:id="5">
    <w:p w14:paraId="4FA5B9A6" w14:textId="77777777" w:rsidR="008E5CE8" w:rsidRPr="001C64EC" w:rsidRDefault="00050D80" w:rsidP="001C64EC">
      <w:pPr>
        <w:pStyle w:val="FootnoteText"/>
        <w:jc w:val="both"/>
        <w:rPr>
          <w:rFonts w:asciiTheme="majorBidi" w:hAnsiTheme="majorBidi" w:cstheme="majorBidi"/>
          <w:lang w:val="lv-LV"/>
        </w:rPr>
      </w:pPr>
      <w:r w:rsidRPr="001C64EC">
        <w:rPr>
          <w:rStyle w:val="FootnoteReference"/>
          <w:rFonts w:asciiTheme="majorBidi" w:hAnsiTheme="majorBidi" w:cstheme="majorBidi"/>
        </w:rPr>
        <w:footnoteRef/>
      </w:r>
      <w:r w:rsidRPr="001C64EC">
        <w:rPr>
          <w:rFonts w:asciiTheme="majorBidi" w:hAnsiTheme="majorBidi" w:cstheme="majorBidi"/>
          <w:lang w:val="lv-LV"/>
        </w:rPr>
        <w:t>Tīmekļvietne https://ozols.gov.lv/pub (Skatīta 12.06.2024.).</w:t>
      </w:r>
    </w:p>
  </w:footnote>
  <w:footnote w:id="6">
    <w:p w14:paraId="23CFF5BD" w14:textId="77777777" w:rsidR="008E5CE8" w:rsidRPr="001C64EC" w:rsidRDefault="00050D80" w:rsidP="001C64EC">
      <w:pPr>
        <w:pStyle w:val="FootnoteText"/>
        <w:jc w:val="both"/>
        <w:rPr>
          <w:rFonts w:asciiTheme="majorBidi" w:hAnsiTheme="majorBidi" w:cstheme="majorBidi"/>
          <w:lang w:val="lv-LV"/>
        </w:rPr>
      </w:pPr>
      <w:r w:rsidRPr="001C64EC">
        <w:rPr>
          <w:rStyle w:val="FootnoteReference"/>
          <w:rFonts w:asciiTheme="majorBidi" w:hAnsiTheme="majorBidi" w:cstheme="majorBidi"/>
        </w:rPr>
        <w:footnoteRef/>
      </w:r>
      <w:r w:rsidRPr="001C64EC">
        <w:rPr>
          <w:rFonts w:asciiTheme="majorBidi" w:hAnsiTheme="majorBidi" w:cstheme="majorBidi"/>
          <w:lang w:val="lv-LV"/>
        </w:rPr>
        <w:t xml:space="preserve"> Biroja reģ. Nr. 5-01/506.</w:t>
      </w:r>
    </w:p>
  </w:footnote>
  <w:footnote w:id="7">
    <w:p w14:paraId="7C1324BB" w14:textId="77777777" w:rsidR="008E5CE8" w:rsidRPr="001C64EC" w:rsidRDefault="00050D80" w:rsidP="001C64EC">
      <w:pPr>
        <w:pStyle w:val="FootnoteText"/>
        <w:jc w:val="both"/>
        <w:rPr>
          <w:rFonts w:asciiTheme="majorBidi" w:hAnsiTheme="majorBidi" w:cstheme="majorBidi"/>
          <w:lang w:val="lv-LV"/>
        </w:rPr>
      </w:pPr>
      <w:r w:rsidRPr="001C64EC">
        <w:rPr>
          <w:rStyle w:val="FootnoteReference"/>
          <w:rFonts w:asciiTheme="majorBidi" w:hAnsiTheme="majorBidi" w:cstheme="majorBidi"/>
        </w:rPr>
        <w:footnoteRef/>
      </w:r>
      <w:r w:rsidRPr="001C64EC">
        <w:rPr>
          <w:rFonts w:asciiTheme="majorBidi" w:hAnsiTheme="majorBidi" w:cstheme="majorBidi"/>
          <w:lang w:val="lv-LV"/>
        </w:rPr>
        <w:t xml:space="preserve"> Tīmekļvietne https://mantojums.lv/cultural-objects (skatīta 12.06.2024.).</w:t>
      </w:r>
    </w:p>
  </w:footnote>
  <w:footnote w:id="8">
    <w:p w14:paraId="0575084F" w14:textId="77777777" w:rsidR="008E5CE8" w:rsidRPr="001C64EC" w:rsidRDefault="00050D80" w:rsidP="001C64EC">
      <w:pPr>
        <w:pStyle w:val="FootnoteText"/>
        <w:jc w:val="both"/>
        <w:rPr>
          <w:rFonts w:asciiTheme="majorBidi" w:hAnsiTheme="majorBidi" w:cstheme="majorBidi"/>
          <w:lang w:val="lv-LV"/>
        </w:rPr>
      </w:pPr>
      <w:r w:rsidRPr="001C64EC">
        <w:rPr>
          <w:rStyle w:val="FootnoteReference"/>
          <w:rFonts w:asciiTheme="majorBidi" w:hAnsiTheme="majorBidi" w:cstheme="majorBidi"/>
        </w:rPr>
        <w:footnoteRef/>
      </w:r>
      <w:r w:rsidRPr="001C64EC">
        <w:rPr>
          <w:rFonts w:asciiTheme="majorBidi" w:hAnsiTheme="majorBidi" w:cstheme="majorBidi"/>
          <w:lang w:val="lv-LV"/>
        </w:rPr>
        <w:t xml:space="preserve"> Atbilstoši Administratīvo teritoriju un apdzīvoto vietu likumam no 2021. gada 1. jūlija Ozolnieku novads iekļauts Jelgavas novada administratīvajā teritorijā.</w:t>
      </w:r>
    </w:p>
  </w:footnote>
  <w:footnote w:id="9">
    <w:p w14:paraId="75CC613D" w14:textId="77777777" w:rsidR="008E5CE8" w:rsidRPr="001C64EC" w:rsidRDefault="00050D80" w:rsidP="001C64EC">
      <w:pPr>
        <w:spacing w:after="0" w:line="240" w:lineRule="auto"/>
        <w:jc w:val="both"/>
        <w:rPr>
          <w:rFonts w:asciiTheme="majorBidi" w:hAnsiTheme="majorBidi" w:cstheme="majorBidi"/>
          <w:sz w:val="20"/>
          <w:szCs w:val="20"/>
          <w:lang w:val="lv-LV"/>
        </w:rPr>
      </w:pPr>
      <w:r w:rsidRPr="001C64EC">
        <w:rPr>
          <w:rStyle w:val="FootnoteReference"/>
          <w:rFonts w:asciiTheme="majorBidi" w:hAnsiTheme="majorBidi" w:cstheme="majorBidi"/>
          <w:sz w:val="20"/>
          <w:szCs w:val="20"/>
        </w:rPr>
        <w:footnoteRef/>
      </w:r>
      <w:r w:rsidRPr="001C64EC">
        <w:rPr>
          <w:rFonts w:asciiTheme="majorBidi" w:hAnsiTheme="majorBidi" w:cstheme="majorBidi"/>
          <w:sz w:val="20"/>
          <w:szCs w:val="20"/>
          <w:lang w:val="lv-LV"/>
        </w:rPr>
        <w:t xml:space="preserve"> Tīmekļvietne https://geolatvija.lv/geo/tapis#document_16413 </w:t>
      </w:r>
      <w:r w:rsidRPr="001C64EC">
        <w:rPr>
          <w:rStyle w:val="Bodytext2"/>
          <w:rFonts w:asciiTheme="majorBidi" w:hAnsiTheme="majorBidi" w:cstheme="majorBidi"/>
          <w:sz w:val="20"/>
          <w:szCs w:val="20"/>
          <w:lang w:val="lv-LV"/>
        </w:rPr>
        <w:t>(skatīta 12.06.2024.).</w:t>
      </w:r>
    </w:p>
  </w:footnote>
  <w:footnote w:id="10">
    <w:p w14:paraId="3CBB573F" w14:textId="77777777" w:rsidR="008E5CE8" w:rsidRPr="001C64EC" w:rsidRDefault="00050D80" w:rsidP="001C64EC">
      <w:pPr>
        <w:pStyle w:val="FootnoteText"/>
        <w:jc w:val="both"/>
        <w:rPr>
          <w:rFonts w:asciiTheme="majorBidi" w:hAnsiTheme="majorBidi" w:cstheme="majorBidi"/>
          <w:lang w:val="lv-LV"/>
        </w:rPr>
      </w:pPr>
      <w:r w:rsidRPr="001C64EC">
        <w:rPr>
          <w:rStyle w:val="FootnoteReference"/>
          <w:rFonts w:asciiTheme="majorBidi" w:hAnsiTheme="majorBidi" w:cstheme="majorBidi"/>
          <w:lang w:val="lv-LV"/>
        </w:rPr>
        <w:footnoteRef/>
      </w:r>
      <w:r w:rsidRPr="001C64EC">
        <w:rPr>
          <w:rFonts w:asciiTheme="majorBidi" w:hAnsiTheme="majorBidi" w:cstheme="majorBidi"/>
          <w:lang w:val="lv-LV"/>
        </w:rPr>
        <w:t xml:space="preserve"> TIAN 352. un 376. punkts.</w:t>
      </w:r>
    </w:p>
  </w:footnote>
  <w:footnote w:id="11">
    <w:p w14:paraId="7A0EEFEA" w14:textId="77777777" w:rsidR="008E5CE8" w:rsidRPr="001C64EC" w:rsidRDefault="00050D80" w:rsidP="001C64EC">
      <w:pPr>
        <w:pStyle w:val="FootnoteText"/>
        <w:jc w:val="both"/>
        <w:rPr>
          <w:rFonts w:asciiTheme="majorBidi" w:hAnsiTheme="majorBidi" w:cstheme="majorBidi"/>
          <w:lang w:val="lv-LV"/>
        </w:rPr>
      </w:pPr>
      <w:r w:rsidRPr="001C64EC">
        <w:rPr>
          <w:rStyle w:val="FootnoteReference"/>
          <w:rFonts w:asciiTheme="majorBidi" w:hAnsiTheme="majorBidi" w:cstheme="majorBidi"/>
        </w:rPr>
        <w:footnoteRef/>
      </w:r>
      <w:r w:rsidRPr="001C64EC">
        <w:rPr>
          <w:rFonts w:asciiTheme="majorBidi" w:hAnsiTheme="majorBidi" w:cstheme="majorBidi"/>
          <w:lang w:val="fr-FR"/>
        </w:rPr>
        <w:t xml:space="preserve"> </w:t>
      </w:r>
      <w:r w:rsidRPr="001C64EC">
        <w:rPr>
          <w:rFonts w:asciiTheme="majorBidi" w:hAnsiTheme="majorBidi" w:cstheme="majorBidi"/>
          <w:lang w:val="lv-LV"/>
        </w:rPr>
        <w:t>Noteikumu Nr. 18 25. punkts.</w:t>
      </w:r>
    </w:p>
  </w:footnote>
  <w:footnote w:id="12">
    <w:p w14:paraId="2A16D0A8" w14:textId="77777777" w:rsidR="008E5CE8" w:rsidRPr="00C053FD" w:rsidRDefault="00050D80" w:rsidP="008E5CE8">
      <w:pPr>
        <w:pStyle w:val="FootnoteText"/>
        <w:jc w:val="both"/>
        <w:rPr>
          <w:rFonts w:ascii="Times New Roman" w:hAnsi="Times New Roman"/>
          <w:lang w:val="lv-LV"/>
        </w:rPr>
      </w:pPr>
      <w:r w:rsidRPr="00C053FD">
        <w:rPr>
          <w:rStyle w:val="FootnoteReference"/>
          <w:rFonts w:ascii="Times New Roman" w:hAnsi="Times New Roman"/>
          <w:lang w:val="lv-LV"/>
        </w:rPr>
        <w:footnoteRef/>
      </w:r>
      <w:r w:rsidRPr="00C053FD">
        <w:rPr>
          <w:rFonts w:ascii="Times New Roman" w:hAnsi="Times New Roman"/>
          <w:lang w:val="lv-LV"/>
        </w:rPr>
        <w:t xml:space="preserve"> Noteikumu Nr. 18 41.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1950" w14:textId="77777777" w:rsidR="00A40F99" w:rsidRDefault="00A40F99" w:rsidP="003B3094">
    <w:pPr>
      <w:pStyle w:val="Header"/>
      <w:rPr>
        <w:rFonts w:ascii="Times New Roman" w:hAnsi="Times New Roman"/>
      </w:rPr>
    </w:pPr>
  </w:p>
  <w:p w14:paraId="56A8F38B" w14:textId="77777777" w:rsidR="00A40F99" w:rsidRDefault="00A40F99" w:rsidP="003B3094">
    <w:pPr>
      <w:pStyle w:val="Header"/>
      <w:rPr>
        <w:rFonts w:ascii="Times New Roman" w:hAnsi="Times New Roman"/>
      </w:rPr>
    </w:pPr>
  </w:p>
  <w:p w14:paraId="2A940166" w14:textId="77777777" w:rsidR="00A40F99" w:rsidRDefault="00A40F99" w:rsidP="003B3094">
    <w:pPr>
      <w:pStyle w:val="Header"/>
      <w:rPr>
        <w:rFonts w:ascii="Times New Roman" w:hAnsi="Times New Roman"/>
      </w:rPr>
    </w:pPr>
  </w:p>
  <w:p w14:paraId="0B068119" w14:textId="77777777" w:rsidR="00A40F99" w:rsidRDefault="00A40F99" w:rsidP="003B3094">
    <w:pPr>
      <w:pStyle w:val="Header"/>
      <w:rPr>
        <w:rFonts w:ascii="Times New Roman" w:hAnsi="Times New Roman"/>
      </w:rPr>
    </w:pPr>
  </w:p>
  <w:p w14:paraId="139343CC" w14:textId="77777777" w:rsidR="00A40F99" w:rsidRDefault="00A40F99" w:rsidP="003B3094">
    <w:pPr>
      <w:pStyle w:val="Header"/>
      <w:rPr>
        <w:rFonts w:ascii="Times New Roman" w:hAnsi="Times New Roman"/>
      </w:rPr>
    </w:pPr>
  </w:p>
  <w:p w14:paraId="139CA6EE" w14:textId="77777777" w:rsidR="00A40F99" w:rsidRDefault="00A40F99" w:rsidP="003B3094">
    <w:pPr>
      <w:pStyle w:val="Header"/>
      <w:rPr>
        <w:rFonts w:ascii="Times New Roman" w:hAnsi="Times New Roman"/>
      </w:rPr>
    </w:pPr>
  </w:p>
  <w:p w14:paraId="7BBCA650" w14:textId="77777777" w:rsidR="00A40F99" w:rsidRDefault="00A40F99" w:rsidP="003B3094">
    <w:pPr>
      <w:pStyle w:val="Header"/>
      <w:rPr>
        <w:rFonts w:ascii="Times New Roman" w:hAnsi="Times New Roman"/>
      </w:rPr>
    </w:pPr>
  </w:p>
  <w:p w14:paraId="0F455190" w14:textId="77777777" w:rsidR="00A40F99" w:rsidRDefault="00A40F99" w:rsidP="003B3094">
    <w:pPr>
      <w:pStyle w:val="Header"/>
      <w:rPr>
        <w:rFonts w:ascii="Times New Roman" w:hAnsi="Times New Roman"/>
      </w:rPr>
    </w:pPr>
  </w:p>
  <w:p w14:paraId="7156B695" w14:textId="77777777" w:rsidR="00A40F99" w:rsidRDefault="00A40F99" w:rsidP="003B3094">
    <w:pPr>
      <w:pStyle w:val="Header"/>
      <w:rPr>
        <w:rFonts w:ascii="Times New Roman" w:hAnsi="Times New Roman"/>
      </w:rPr>
    </w:pPr>
  </w:p>
  <w:p w14:paraId="26A777F4" w14:textId="77777777" w:rsidR="00A40F99" w:rsidRDefault="00A40F99" w:rsidP="003B3094">
    <w:pPr>
      <w:pStyle w:val="Header"/>
      <w:rPr>
        <w:rFonts w:ascii="Times New Roman" w:hAnsi="Times New Roman"/>
      </w:rPr>
    </w:pPr>
  </w:p>
  <w:p w14:paraId="01B18F01" w14:textId="77777777" w:rsidR="00A40F99" w:rsidRPr="00815277" w:rsidRDefault="00050D80" w:rsidP="003B3094">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2FC6FACA" wp14:editId="7F8FF052">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50036AEE" wp14:editId="2E2A1117">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F638D" w14:textId="77777777" w:rsidR="00A40F99" w:rsidRPr="001C64EC" w:rsidRDefault="00050D80" w:rsidP="003B3094">
                          <w:pPr>
                            <w:spacing w:after="0" w:line="194" w:lineRule="exact"/>
                            <w:ind w:left="20" w:right="-45"/>
                            <w:jc w:val="center"/>
                            <w:rPr>
                              <w:rFonts w:ascii="Times New Roman" w:eastAsia="Times New Roman" w:hAnsi="Times New Roman"/>
                              <w:sz w:val="17"/>
                              <w:szCs w:val="17"/>
                              <w:lang w:val="pt-BR"/>
                            </w:rPr>
                          </w:pPr>
                          <w:r w:rsidRPr="0079265C">
                            <w:rPr>
                              <w:rFonts w:ascii="Times New Roman" w:eastAsia="Times New Roman" w:hAnsi="Times New Roman"/>
                              <w:color w:val="231F20"/>
                              <w:sz w:val="17"/>
                              <w:szCs w:val="17"/>
                            </w:rPr>
                            <w:t>Rūpniecības iela 23, Rīga, LV-1045</w:t>
                          </w:r>
                          <w:r>
                            <w:rPr>
                              <w:rFonts w:ascii="Times New Roman" w:eastAsia="Times New Roman" w:hAnsi="Times New Roman"/>
                              <w:color w:val="231F20"/>
                              <w:sz w:val="17"/>
                              <w:szCs w:val="17"/>
                            </w:rPr>
                            <w:t xml:space="preserve">, tālr. </w:t>
                          </w:r>
                          <w:r w:rsidRPr="001C64EC">
                            <w:rPr>
                              <w:rFonts w:ascii="Times New Roman" w:eastAsia="Times New Roman" w:hAnsi="Times New Roman"/>
                              <w:color w:val="231F20"/>
                              <w:sz w:val="17"/>
                              <w:szCs w:val="17"/>
                              <w:lang w:val="pt-BR"/>
                            </w:rPr>
                            <w:t>67321173, e-pasts pasts@vpvb.gov.lv,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036AE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2CCF638D" w14:textId="77777777" w:rsidR="00A40F99" w:rsidRPr="001C64EC" w:rsidRDefault="00050D80" w:rsidP="003B3094">
                    <w:pPr>
                      <w:spacing w:after="0" w:line="194" w:lineRule="exact"/>
                      <w:ind w:left="20" w:right="-45"/>
                      <w:jc w:val="center"/>
                      <w:rPr>
                        <w:rFonts w:ascii="Times New Roman" w:eastAsia="Times New Roman" w:hAnsi="Times New Roman"/>
                        <w:sz w:val="17"/>
                        <w:szCs w:val="17"/>
                        <w:lang w:val="pt-BR"/>
                      </w:rPr>
                    </w:pPr>
                    <w:r w:rsidRPr="0079265C">
                      <w:rPr>
                        <w:rFonts w:ascii="Times New Roman" w:eastAsia="Times New Roman" w:hAnsi="Times New Roman"/>
                        <w:color w:val="231F20"/>
                        <w:sz w:val="17"/>
                        <w:szCs w:val="17"/>
                      </w:rPr>
                      <w:t>Rūpniecības iela 23, Rīga, LV-1045</w:t>
                    </w:r>
                    <w:r>
                      <w:rPr>
                        <w:rFonts w:ascii="Times New Roman" w:eastAsia="Times New Roman" w:hAnsi="Times New Roman"/>
                        <w:color w:val="231F20"/>
                        <w:sz w:val="17"/>
                        <w:szCs w:val="17"/>
                      </w:rPr>
                      <w:t xml:space="preserve">, tālr. </w:t>
                    </w:r>
                    <w:r w:rsidRPr="001C64EC">
                      <w:rPr>
                        <w:rFonts w:ascii="Times New Roman" w:eastAsia="Times New Roman" w:hAnsi="Times New Roman"/>
                        <w:color w:val="231F20"/>
                        <w:sz w:val="17"/>
                        <w:szCs w:val="17"/>
                        <w:lang w:val="pt-BR"/>
                      </w:rPr>
                      <w:t>67321173, e-pasts pasts@vpvb.gov.lv, www.vpvb.gov.lv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1EDE7706" wp14:editId="5788E896">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7236D396"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13C7D828" w14:textId="77777777" w:rsidR="00A40F99" w:rsidRDefault="00A4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465C73"/>
    <w:multiLevelType w:val="multilevel"/>
    <w:tmpl w:val="8D743074"/>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C85B43"/>
    <w:multiLevelType w:val="hybridMultilevel"/>
    <w:tmpl w:val="C35C4828"/>
    <w:lvl w:ilvl="0" w:tplc="793436B4">
      <w:start w:val="1"/>
      <w:numFmt w:val="decimal"/>
      <w:lvlText w:val="%1."/>
      <w:lvlJc w:val="left"/>
      <w:pPr>
        <w:tabs>
          <w:tab w:val="num" w:pos="397"/>
        </w:tabs>
        <w:ind w:left="397" w:hanging="397"/>
      </w:pPr>
      <w:rPr>
        <w:rFonts w:hint="default"/>
      </w:rPr>
    </w:lvl>
    <w:lvl w:ilvl="1" w:tplc="E424DA80" w:tentative="1">
      <w:start w:val="1"/>
      <w:numFmt w:val="lowerLetter"/>
      <w:lvlText w:val="%2."/>
      <w:lvlJc w:val="left"/>
      <w:pPr>
        <w:tabs>
          <w:tab w:val="num" w:pos="1440"/>
        </w:tabs>
        <w:ind w:left="1440" w:hanging="360"/>
      </w:pPr>
    </w:lvl>
    <w:lvl w:ilvl="2" w:tplc="DCA67886" w:tentative="1">
      <w:start w:val="1"/>
      <w:numFmt w:val="lowerRoman"/>
      <w:lvlText w:val="%3."/>
      <w:lvlJc w:val="right"/>
      <w:pPr>
        <w:tabs>
          <w:tab w:val="num" w:pos="2160"/>
        </w:tabs>
        <w:ind w:left="2160" w:hanging="180"/>
      </w:pPr>
    </w:lvl>
    <w:lvl w:ilvl="3" w:tplc="171AA590" w:tentative="1">
      <w:start w:val="1"/>
      <w:numFmt w:val="decimal"/>
      <w:lvlText w:val="%4."/>
      <w:lvlJc w:val="left"/>
      <w:pPr>
        <w:tabs>
          <w:tab w:val="num" w:pos="2880"/>
        </w:tabs>
        <w:ind w:left="2880" w:hanging="360"/>
      </w:pPr>
    </w:lvl>
    <w:lvl w:ilvl="4" w:tplc="3370ABFE" w:tentative="1">
      <w:start w:val="1"/>
      <w:numFmt w:val="lowerLetter"/>
      <w:lvlText w:val="%5."/>
      <w:lvlJc w:val="left"/>
      <w:pPr>
        <w:tabs>
          <w:tab w:val="num" w:pos="3600"/>
        </w:tabs>
        <w:ind w:left="3600" w:hanging="360"/>
      </w:pPr>
    </w:lvl>
    <w:lvl w:ilvl="5" w:tplc="B4F47DA2" w:tentative="1">
      <w:start w:val="1"/>
      <w:numFmt w:val="lowerRoman"/>
      <w:lvlText w:val="%6."/>
      <w:lvlJc w:val="right"/>
      <w:pPr>
        <w:tabs>
          <w:tab w:val="num" w:pos="4320"/>
        </w:tabs>
        <w:ind w:left="4320" w:hanging="180"/>
      </w:pPr>
    </w:lvl>
    <w:lvl w:ilvl="6" w:tplc="469AF1D6" w:tentative="1">
      <w:start w:val="1"/>
      <w:numFmt w:val="decimal"/>
      <w:lvlText w:val="%7."/>
      <w:lvlJc w:val="left"/>
      <w:pPr>
        <w:tabs>
          <w:tab w:val="num" w:pos="5040"/>
        </w:tabs>
        <w:ind w:left="5040" w:hanging="360"/>
      </w:pPr>
    </w:lvl>
    <w:lvl w:ilvl="7" w:tplc="36A26F62" w:tentative="1">
      <w:start w:val="1"/>
      <w:numFmt w:val="lowerLetter"/>
      <w:lvlText w:val="%8."/>
      <w:lvlJc w:val="left"/>
      <w:pPr>
        <w:tabs>
          <w:tab w:val="num" w:pos="5760"/>
        </w:tabs>
        <w:ind w:left="5760" w:hanging="360"/>
      </w:pPr>
    </w:lvl>
    <w:lvl w:ilvl="8" w:tplc="A6708B26" w:tentative="1">
      <w:start w:val="1"/>
      <w:numFmt w:val="lowerRoman"/>
      <w:lvlText w:val="%9."/>
      <w:lvlJc w:val="right"/>
      <w:pPr>
        <w:tabs>
          <w:tab w:val="num" w:pos="6480"/>
        </w:tabs>
        <w:ind w:left="6480" w:hanging="180"/>
      </w:pPr>
    </w:lvl>
  </w:abstractNum>
  <w:abstractNum w:abstractNumId="2" w15:restartNumberingAfterBreak="1">
    <w:nsid w:val="2DBC500F"/>
    <w:multiLevelType w:val="multilevel"/>
    <w:tmpl w:val="03CC2390"/>
    <w:lvl w:ilvl="0">
      <w:start w:val="1"/>
      <w:numFmt w:val="decimal"/>
      <w:lvlText w:val="%1."/>
      <w:lvlJc w:val="left"/>
      <w:pPr>
        <w:tabs>
          <w:tab w:val="num" w:pos="397"/>
        </w:tabs>
        <w:ind w:left="397" w:hanging="397"/>
      </w:pPr>
      <w:rPr>
        <w:rFonts w:hint="default"/>
        <w:b/>
        <w:bCs/>
      </w:rPr>
    </w:lvl>
    <w:lvl w:ilvl="1">
      <w:start w:val="1"/>
      <w:numFmt w:val="decimal"/>
      <w:lvlText w:val="%1.%2."/>
      <w:lvlJc w:val="left"/>
      <w:pPr>
        <w:tabs>
          <w:tab w:val="num" w:pos="-397"/>
        </w:tabs>
        <w:ind w:left="1085" w:hanging="1085"/>
      </w:pPr>
      <w:rPr>
        <w:rFonts w:hint="default"/>
      </w:rPr>
    </w:lvl>
    <w:lvl w:ilvl="2">
      <w:start w:val="1"/>
      <w:numFmt w:val="decimal"/>
      <w:lvlText w:val="%1.%2.%3."/>
      <w:lvlJc w:val="left"/>
      <w:pPr>
        <w:tabs>
          <w:tab w:val="num" w:pos="623"/>
        </w:tabs>
        <w:ind w:left="1287" w:hanging="720"/>
      </w:pPr>
      <w:rPr>
        <w:rFonts w:hint="default"/>
        <w:color w:val="auto"/>
      </w:rPr>
    </w:lvl>
    <w:lvl w:ilvl="3">
      <w:start w:val="1"/>
      <w:numFmt w:val="decimal"/>
      <w:lvlText w:val="%1.%2.%3.%4."/>
      <w:lvlJc w:val="left"/>
      <w:pPr>
        <w:tabs>
          <w:tab w:val="num" w:pos="1927"/>
        </w:tabs>
        <w:ind w:left="2563" w:hanging="720"/>
      </w:pPr>
      <w:rPr>
        <w:rFonts w:hint="default"/>
      </w:rPr>
    </w:lvl>
    <w:lvl w:ilvl="4">
      <w:start w:val="1"/>
      <w:numFmt w:val="decimal"/>
      <w:lvlText w:val="%1.%2.%3.%4.%5."/>
      <w:lvlJc w:val="left"/>
      <w:pPr>
        <w:tabs>
          <w:tab w:val="num" w:pos="0"/>
        </w:tabs>
        <w:ind w:left="968" w:hanging="1080"/>
      </w:pPr>
      <w:rPr>
        <w:rFonts w:hint="default"/>
      </w:rPr>
    </w:lvl>
    <w:lvl w:ilvl="5">
      <w:start w:val="1"/>
      <w:numFmt w:val="decimal"/>
      <w:lvlText w:val="%1.%2.%3.%4.%5.%6."/>
      <w:lvlJc w:val="left"/>
      <w:pPr>
        <w:tabs>
          <w:tab w:val="num" w:pos="0"/>
        </w:tabs>
        <w:ind w:left="940" w:hanging="1080"/>
      </w:pPr>
      <w:rPr>
        <w:rFonts w:hint="default"/>
      </w:rPr>
    </w:lvl>
    <w:lvl w:ilvl="6">
      <w:start w:val="1"/>
      <w:numFmt w:val="decimal"/>
      <w:lvlText w:val="%1.%2.%3.%4.%5.%6.%7."/>
      <w:lvlJc w:val="left"/>
      <w:pPr>
        <w:tabs>
          <w:tab w:val="num" w:pos="0"/>
        </w:tabs>
        <w:ind w:left="1272" w:hanging="1440"/>
      </w:pPr>
      <w:rPr>
        <w:rFonts w:hint="default"/>
      </w:rPr>
    </w:lvl>
    <w:lvl w:ilvl="7">
      <w:start w:val="1"/>
      <w:numFmt w:val="decimal"/>
      <w:lvlText w:val="%1.%2.%3.%4.%5.%6.%7.%8."/>
      <w:lvlJc w:val="left"/>
      <w:pPr>
        <w:tabs>
          <w:tab w:val="num" w:pos="0"/>
        </w:tabs>
        <w:ind w:left="1244" w:hanging="1440"/>
      </w:pPr>
      <w:rPr>
        <w:rFonts w:hint="default"/>
      </w:rPr>
    </w:lvl>
    <w:lvl w:ilvl="8">
      <w:start w:val="1"/>
      <w:numFmt w:val="decimal"/>
      <w:lvlText w:val="%1.%2.%3.%4.%5.%6.%7.%8.%9."/>
      <w:lvlJc w:val="left"/>
      <w:pPr>
        <w:tabs>
          <w:tab w:val="num" w:pos="0"/>
        </w:tabs>
        <w:ind w:left="1576" w:hanging="1800"/>
      </w:pPr>
      <w:rPr>
        <w:rFonts w:hint="default"/>
      </w:rPr>
    </w:lvl>
  </w:abstractNum>
  <w:abstractNum w:abstractNumId="3" w15:restartNumberingAfterBreak="0">
    <w:nsid w:val="4DE472BC"/>
    <w:multiLevelType w:val="hybridMultilevel"/>
    <w:tmpl w:val="572A7744"/>
    <w:lvl w:ilvl="0" w:tplc="A03CC8BA">
      <w:start w:val="1"/>
      <w:numFmt w:val="upperRoman"/>
      <w:lvlText w:val="%1."/>
      <w:lvlJc w:val="left"/>
      <w:pPr>
        <w:ind w:left="1080" w:hanging="720"/>
      </w:pPr>
      <w:rPr>
        <w:rFonts w:hint="default"/>
      </w:rPr>
    </w:lvl>
    <w:lvl w:ilvl="1" w:tplc="14C2B288" w:tentative="1">
      <w:start w:val="1"/>
      <w:numFmt w:val="lowerLetter"/>
      <w:lvlText w:val="%2."/>
      <w:lvlJc w:val="left"/>
      <w:pPr>
        <w:ind w:left="1440" w:hanging="360"/>
      </w:pPr>
    </w:lvl>
    <w:lvl w:ilvl="2" w:tplc="BB6CA97E">
      <w:start w:val="1"/>
      <w:numFmt w:val="lowerRoman"/>
      <w:lvlText w:val="%3."/>
      <w:lvlJc w:val="right"/>
      <w:pPr>
        <w:ind w:left="2160" w:hanging="180"/>
      </w:pPr>
    </w:lvl>
    <w:lvl w:ilvl="3" w:tplc="B980D50E" w:tentative="1">
      <w:start w:val="1"/>
      <w:numFmt w:val="decimal"/>
      <w:lvlText w:val="%4."/>
      <w:lvlJc w:val="left"/>
      <w:pPr>
        <w:ind w:left="2880" w:hanging="360"/>
      </w:pPr>
    </w:lvl>
    <w:lvl w:ilvl="4" w:tplc="273A4A9A" w:tentative="1">
      <w:start w:val="1"/>
      <w:numFmt w:val="lowerLetter"/>
      <w:lvlText w:val="%5."/>
      <w:lvlJc w:val="left"/>
      <w:pPr>
        <w:ind w:left="3600" w:hanging="360"/>
      </w:pPr>
    </w:lvl>
    <w:lvl w:ilvl="5" w:tplc="80A4A752" w:tentative="1">
      <w:start w:val="1"/>
      <w:numFmt w:val="lowerRoman"/>
      <w:lvlText w:val="%6."/>
      <w:lvlJc w:val="right"/>
      <w:pPr>
        <w:ind w:left="4320" w:hanging="180"/>
      </w:pPr>
    </w:lvl>
    <w:lvl w:ilvl="6" w:tplc="72280690" w:tentative="1">
      <w:start w:val="1"/>
      <w:numFmt w:val="decimal"/>
      <w:lvlText w:val="%7."/>
      <w:lvlJc w:val="left"/>
      <w:pPr>
        <w:ind w:left="5040" w:hanging="360"/>
      </w:pPr>
    </w:lvl>
    <w:lvl w:ilvl="7" w:tplc="44CA7100" w:tentative="1">
      <w:start w:val="1"/>
      <w:numFmt w:val="lowerLetter"/>
      <w:lvlText w:val="%8."/>
      <w:lvlJc w:val="left"/>
      <w:pPr>
        <w:ind w:left="5760" w:hanging="360"/>
      </w:pPr>
    </w:lvl>
    <w:lvl w:ilvl="8" w:tplc="8126FD4C" w:tentative="1">
      <w:start w:val="1"/>
      <w:numFmt w:val="lowerRoman"/>
      <w:lvlText w:val="%9."/>
      <w:lvlJc w:val="right"/>
      <w:pPr>
        <w:ind w:left="6480" w:hanging="180"/>
      </w:pPr>
    </w:lvl>
  </w:abstractNum>
  <w:abstractNum w:abstractNumId="4" w15:restartNumberingAfterBreak="0">
    <w:nsid w:val="5CA72EBC"/>
    <w:multiLevelType w:val="hybridMultilevel"/>
    <w:tmpl w:val="49AA5670"/>
    <w:lvl w:ilvl="0" w:tplc="18EA3E4C">
      <w:start w:val="1"/>
      <w:numFmt w:val="decimal"/>
      <w:lvlText w:val="%1."/>
      <w:lvlJc w:val="left"/>
      <w:pPr>
        <w:ind w:left="720" w:hanging="360"/>
      </w:pPr>
      <w:rPr>
        <w:rFonts w:eastAsia="Times New Roman" w:hint="default"/>
      </w:rPr>
    </w:lvl>
    <w:lvl w:ilvl="1" w:tplc="6CC2AD32" w:tentative="1">
      <w:start w:val="1"/>
      <w:numFmt w:val="lowerLetter"/>
      <w:lvlText w:val="%2."/>
      <w:lvlJc w:val="left"/>
      <w:pPr>
        <w:ind w:left="1440" w:hanging="360"/>
      </w:pPr>
    </w:lvl>
    <w:lvl w:ilvl="2" w:tplc="DE726B42" w:tentative="1">
      <w:start w:val="1"/>
      <w:numFmt w:val="lowerRoman"/>
      <w:lvlText w:val="%3."/>
      <w:lvlJc w:val="right"/>
      <w:pPr>
        <w:ind w:left="2160" w:hanging="180"/>
      </w:pPr>
    </w:lvl>
    <w:lvl w:ilvl="3" w:tplc="40904952" w:tentative="1">
      <w:start w:val="1"/>
      <w:numFmt w:val="decimal"/>
      <w:lvlText w:val="%4."/>
      <w:lvlJc w:val="left"/>
      <w:pPr>
        <w:ind w:left="2880" w:hanging="360"/>
      </w:pPr>
    </w:lvl>
    <w:lvl w:ilvl="4" w:tplc="4560D5EC" w:tentative="1">
      <w:start w:val="1"/>
      <w:numFmt w:val="lowerLetter"/>
      <w:lvlText w:val="%5."/>
      <w:lvlJc w:val="left"/>
      <w:pPr>
        <w:ind w:left="3600" w:hanging="360"/>
      </w:pPr>
    </w:lvl>
    <w:lvl w:ilvl="5" w:tplc="6896D19A" w:tentative="1">
      <w:start w:val="1"/>
      <w:numFmt w:val="lowerRoman"/>
      <w:lvlText w:val="%6."/>
      <w:lvlJc w:val="right"/>
      <w:pPr>
        <w:ind w:left="4320" w:hanging="180"/>
      </w:pPr>
    </w:lvl>
    <w:lvl w:ilvl="6" w:tplc="9808D422" w:tentative="1">
      <w:start w:val="1"/>
      <w:numFmt w:val="decimal"/>
      <w:lvlText w:val="%7."/>
      <w:lvlJc w:val="left"/>
      <w:pPr>
        <w:ind w:left="5040" w:hanging="360"/>
      </w:pPr>
    </w:lvl>
    <w:lvl w:ilvl="7" w:tplc="A5728F8E" w:tentative="1">
      <w:start w:val="1"/>
      <w:numFmt w:val="lowerLetter"/>
      <w:lvlText w:val="%8."/>
      <w:lvlJc w:val="left"/>
      <w:pPr>
        <w:ind w:left="5760" w:hanging="360"/>
      </w:pPr>
    </w:lvl>
    <w:lvl w:ilvl="8" w:tplc="D9E6009C" w:tentative="1">
      <w:start w:val="1"/>
      <w:numFmt w:val="lowerRoman"/>
      <w:lvlText w:val="%9."/>
      <w:lvlJc w:val="right"/>
      <w:pPr>
        <w:ind w:left="6480" w:hanging="180"/>
      </w:pPr>
    </w:lvl>
  </w:abstractNum>
  <w:abstractNum w:abstractNumId="5" w15:restartNumberingAfterBreak="1">
    <w:nsid w:val="6C942B5D"/>
    <w:multiLevelType w:val="multilevel"/>
    <w:tmpl w:val="905A344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788B43A2"/>
    <w:multiLevelType w:val="hybridMultilevel"/>
    <w:tmpl w:val="03040244"/>
    <w:lvl w:ilvl="0" w:tplc="1092145E">
      <w:start w:val="1"/>
      <w:numFmt w:val="decimal"/>
      <w:lvlText w:val="%1."/>
      <w:lvlJc w:val="left"/>
      <w:pPr>
        <w:tabs>
          <w:tab w:val="num" w:pos="720"/>
        </w:tabs>
        <w:ind w:left="720" w:hanging="360"/>
      </w:pPr>
      <w:rPr>
        <w:rFonts w:hint="default"/>
      </w:rPr>
    </w:lvl>
    <w:lvl w:ilvl="1" w:tplc="C47C3AAC">
      <w:start w:val="1"/>
      <w:numFmt w:val="lowerLetter"/>
      <w:lvlText w:val="%2."/>
      <w:lvlJc w:val="left"/>
      <w:pPr>
        <w:tabs>
          <w:tab w:val="num" w:pos="1440"/>
        </w:tabs>
        <w:ind w:left="1440" w:hanging="360"/>
      </w:pPr>
    </w:lvl>
    <w:lvl w:ilvl="2" w:tplc="366AC886" w:tentative="1">
      <w:start w:val="1"/>
      <w:numFmt w:val="lowerRoman"/>
      <w:lvlText w:val="%3."/>
      <w:lvlJc w:val="right"/>
      <w:pPr>
        <w:tabs>
          <w:tab w:val="num" w:pos="2160"/>
        </w:tabs>
        <w:ind w:left="2160" w:hanging="180"/>
      </w:pPr>
    </w:lvl>
    <w:lvl w:ilvl="3" w:tplc="46128908" w:tentative="1">
      <w:start w:val="1"/>
      <w:numFmt w:val="decimal"/>
      <w:lvlText w:val="%4."/>
      <w:lvlJc w:val="left"/>
      <w:pPr>
        <w:tabs>
          <w:tab w:val="num" w:pos="2880"/>
        </w:tabs>
        <w:ind w:left="2880" w:hanging="360"/>
      </w:pPr>
    </w:lvl>
    <w:lvl w:ilvl="4" w:tplc="98E2924E" w:tentative="1">
      <w:start w:val="1"/>
      <w:numFmt w:val="lowerLetter"/>
      <w:lvlText w:val="%5."/>
      <w:lvlJc w:val="left"/>
      <w:pPr>
        <w:tabs>
          <w:tab w:val="num" w:pos="3600"/>
        </w:tabs>
        <w:ind w:left="3600" w:hanging="360"/>
      </w:pPr>
    </w:lvl>
    <w:lvl w:ilvl="5" w:tplc="3702BAC2" w:tentative="1">
      <w:start w:val="1"/>
      <w:numFmt w:val="lowerRoman"/>
      <w:lvlText w:val="%6."/>
      <w:lvlJc w:val="right"/>
      <w:pPr>
        <w:tabs>
          <w:tab w:val="num" w:pos="4320"/>
        </w:tabs>
        <w:ind w:left="4320" w:hanging="180"/>
      </w:pPr>
    </w:lvl>
    <w:lvl w:ilvl="6" w:tplc="53845D0A" w:tentative="1">
      <w:start w:val="1"/>
      <w:numFmt w:val="decimal"/>
      <w:lvlText w:val="%7."/>
      <w:lvlJc w:val="left"/>
      <w:pPr>
        <w:tabs>
          <w:tab w:val="num" w:pos="5040"/>
        </w:tabs>
        <w:ind w:left="5040" w:hanging="360"/>
      </w:pPr>
    </w:lvl>
    <w:lvl w:ilvl="7" w:tplc="C74C3ADE" w:tentative="1">
      <w:start w:val="1"/>
      <w:numFmt w:val="lowerLetter"/>
      <w:lvlText w:val="%8."/>
      <w:lvlJc w:val="left"/>
      <w:pPr>
        <w:tabs>
          <w:tab w:val="num" w:pos="5760"/>
        </w:tabs>
        <w:ind w:left="5760" w:hanging="360"/>
      </w:pPr>
    </w:lvl>
    <w:lvl w:ilvl="8" w:tplc="A9EAFD12" w:tentative="1">
      <w:start w:val="1"/>
      <w:numFmt w:val="lowerRoman"/>
      <w:lvlText w:val="%9."/>
      <w:lvlJc w:val="right"/>
      <w:pPr>
        <w:tabs>
          <w:tab w:val="num" w:pos="6480"/>
        </w:tabs>
        <w:ind w:left="6480" w:hanging="180"/>
      </w:pPr>
    </w:lvl>
  </w:abstractNum>
  <w:num w:numId="1" w16cid:durableId="959259247">
    <w:abstractNumId w:val="6"/>
  </w:num>
  <w:num w:numId="2" w16cid:durableId="873036356">
    <w:abstractNumId w:val="2"/>
  </w:num>
  <w:num w:numId="3" w16cid:durableId="865486016">
    <w:abstractNumId w:val="1"/>
  </w:num>
  <w:num w:numId="4" w16cid:durableId="1486161195">
    <w:abstractNumId w:val="0"/>
  </w:num>
  <w:num w:numId="5" w16cid:durableId="680936661">
    <w:abstractNumId w:val="5"/>
  </w:num>
  <w:num w:numId="6" w16cid:durableId="391662630">
    <w:abstractNumId w:val="3"/>
  </w:num>
  <w:num w:numId="7" w16cid:durableId="1769303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E2"/>
    <w:rsid w:val="00050D80"/>
    <w:rsid w:val="0015490B"/>
    <w:rsid w:val="001B2EAC"/>
    <w:rsid w:val="001C64EC"/>
    <w:rsid w:val="001F7BD8"/>
    <w:rsid w:val="003A2DA4"/>
    <w:rsid w:val="003B3094"/>
    <w:rsid w:val="003D532F"/>
    <w:rsid w:val="003E15CB"/>
    <w:rsid w:val="004A055A"/>
    <w:rsid w:val="00635F86"/>
    <w:rsid w:val="0072574D"/>
    <w:rsid w:val="0079265C"/>
    <w:rsid w:val="00804B99"/>
    <w:rsid w:val="00807D77"/>
    <w:rsid w:val="00814829"/>
    <w:rsid w:val="00815277"/>
    <w:rsid w:val="008931B2"/>
    <w:rsid w:val="008E5CE8"/>
    <w:rsid w:val="008F5CFD"/>
    <w:rsid w:val="00927B74"/>
    <w:rsid w:val="009F09E7"/>
    <w:rsid w:val="00A40F99"/>
    <w:rsid w:val="00A902A5"/>
    <w:rsid w:val="00A95FA5"/>
    <w:rsid w:val="00AE2EE2"/>
    <w:rsid w:val="00C053FD"/>
    <w:rsid w:val="00C91F1A"/>
    <w:rsid w:val="00E87EBC"/>
    <w:rsid w:val="00EE0E5E"/>
    <w:rsid w:val="00F44141"/>
    <w:rsid w:val="00F44388"/>
    <w:rsid w:val="00FA2C89"/>
    <w:rsid w:val="00FA7C6C"/>
    <w:rsid w:val="00FE4E4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CF06"/>
  <w15:chartTrackingRefBased/>
  <w15:docId w15:val="{C01F5062-94A1-42AB-BB3B-4294F764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99"/>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0F99"/>
    <w:pPr>
      <w:tabs>
        <w:tab w:val="center" w:pos="4320"/>
        <w:tab w:val="right" w:pos="8640"/>
      </w:tabs>
      <w:spacing w:after="0" w:line="240" w:lineRule="auto"/>
    </w:pPr>
  </w:style>
  <w:style w:type="character" w:customStyle="1" w:styleId="HeaderChar">
    <w:name w:val="Header Char"/>
    <w:basedOn w:val="DefaultParagraphFont"/>
    <w:link w:val="Header"/>
    <w:rsid w:val="00A40F9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A40F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0F99"/>
    <w:rPr>
      <w:rFonts w:ascii="Calibri" w:eastAsia="Calibri" w:hAnsi="Calibri" w:cs="Times New Roman"/>
      <w:kern w:val="0"/>
      <w:lang w:val="en-US"/>
      <w14:ligatures w14:val="none"/>
    </w:rPr>
  </w:style>
  <w:style w:type="paragraph" w:styleId="FootnoteText">
    <w:name w:val="footnote text"/>
    <w:aliases w:val="FT,Footnote Text AG,Footnote text,Fußnote,SD Footnote Text,Style 5,fn,ft"/>
    <w:basedOn w:val="Normal"/>
    <w:link w:val="FootnoteTextChar"/>
    <w:uiPriority w:val="99"/>
    <w:unhideWhenUsed/>
    <w:qFormat/>
    <w:rsid w:val="008E5CE8"/>
    <w:pPr>
      <w:spacing w:after="0" w:line="240" w:lineRule="auto"/>
    </w:pPr>
    <w:rPr>
      <w:sz w:val="20"/>
      <w:szCs w:val="20"/>
    </w:rPr>
  </w:style>
  <w:style w:type="character" w:customStyle="1" w:styleId="FootnoteTextChar">
    <w:name w:val="Footnote Text Char"/>
    <w:aliases w:val="FT Char,Footnote Text AG Char,Footnote text Char,Fußnote Char,SD Footnote Text Char,Style 5 Char,fn Char,ft Char"/>
    <w:basedOn w:val="DefaultParagraphFont"/>
    <w:link w:val="FootnoteText"/>
    <w:uiPriority w:val="99"/>
    <w:rsid w:val="008E5CE8"/>
    <w:rPr>
      <w:rFonts w:ascii="Calibri" w:eastAsia="Calibri" w:hAnsi="Calibri" w:cs="Times New Roman"/>
      <w:kern w:val="0"/>
      <w:sz w:val="20"/>
      <w:szCs w:val="20"/>
      <w:lang w:val="en-US"/>
      <w14:ligatures w14:val="none"/>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r"/>
    <w:link w:val="CharCharCharChar"/>
    <w:uiPriority w:val="99"/>
    <w:unhideWhenUsed/>
    <w:qFormat/>
    <w:rsid w:val="008E5CE8"/>
    <w:rPr>
      <w:vertAlign w:val="superscript"/>
    </w:rPr>
  </w:style>
  <w:style w:type="character" w:customStyle="1" w:styleId="Bodytext2">
    <w:name w:val="Body text (2)_"/>
    <w:basedOn w:val="DefaultParagraphFont"/>
    <w:link w:val="Bodytext20"/>
    <w:uiPriority w:val="99"/>
    <w:rsid w:val="008E5CE8"/>
    <w:rPr>
      <w:rFonts w:ascii="Times New Roman" w:hAnsi="Times New Roman"/>
      <w:shd w:val="clear" w:color="auto" w:fill="FFFFFF"/>
    </w:rPr>
  </w:style>
  <w:style w:type="paragraph" w:customStyle="1" w:styleId="Bodytext20">
    <w:name w:val="Body text (2)"/>
    <w:basedOn w:val="Normal"/>
    <w:link w:val="Bodytext2"/>
    <w:uiPriority w:val="99"/>
    <w:rsid w:val="008E5CE8"/>
    <w:pPr>
      <w:shd w:val="clear" w:color="auto" w:fill="FFFFFF"/>
      <w:spacing w:after="0" w:line="274" w:lineRule="exact"/>
      <w:ind w:hanging="340"/>
      <w:jc w:val="both"/>
    </w:pPr>
    <w:rPr>
      <w:rFonts w:ascii="Times New Roman" w:eastAsiaTheme="minorHAnsi" w:hAnsi="Times New Roman" w:cstheme="minorBidi"/>
      <w:kern w:val="2"/>
      <w:lang w:val="lv-LV"/>
      <w14:ligatures w14:val="standardContextual"/>
    </w:rPr>
  </w:style>
  <w:style w:type="paragraph" w:customStyle="1" w:styleId="CharCharCharChar">
    <w:name w:val="Char Char Char Char"/>
    <w:aliases w:val="Char2"/>
    <w:basedOn w:val="Normal"/>
    <w:next w:val="Normal"/>
    <w:link w:val="FootnoteReference"/>
    <w:uiPriority w:val="99"/>
    <w:rsid w:val="008E5CE8"/>
    <w:pPr>
      <w:widowControl/>
      <w:spacing w:after="160" w:line="240" w:lineRule="exact"/>
      <w:jc w:val="both"/>
      <w:textAlignment w:val="baseline"/>
    </w:pPr>
    <w:rPr>
      <w:rFonts w:asciiTheme="minorHAnsi" w:eastAsiaTheme="minorHAnsi" w:hAnsiTheme="minorHAnsi" w:cstheme="minorBidi"/>
      <w:kern w:val="2"/>
      <w:vertAlign w:val="superscript"/>
      <w:lang w:val="lv-LV"/>
      <w14:ligatures w14:val="standardContextual"/>
    </w:rPr>
  </w:style>
  <w:style w:type="character" w:styleId="Hyperlink">
    <w:name w:val="Hyperlink"/>
    <w:basedOn w:val="DefaultParagraphFont"/>
    <w:uiPriority w:val="99"/>
    <w:unhideWhenUsed/>
    <w:rsid w:val="001C64EC"/>
    <w:rPr>
      <w:color w:val="0563C1" w:themeColor="hyperlink"/>
      <w:u w:val="single"/>
    </w:rPr>
  </w:style>
  <w:style w:type="character" w:styleId="UnresolvedMention">
    <w:name w:val="Unresolved Mention"/>
    <w:basedOn w:val="DefaultParagraphFont"/>
    <w:uiPriority w:val="99"/>
    <w:semiHidden/>
    <w:unhideWhenUsed/>
    <w:rsid w:val="001C6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s.ikaunieks@vpv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eolatvija.lv/geo/tapis" TargetMode="External"/><Relationship Id="rId2" Type="http://schemas.openxmlformats.org/officeDocument/2006/relationships/hyperlink" Target="https://videscentrs.lvgmc.lv/lapas/zemes-dzilu-informacijas-sistema" TargetMode="External"/><Relationship Id="rId1" Type="http://schemas.openxmlformats.org/officeDocument/2006/relationships/hyperlink" Target="https://videscentrs.lvgmc.lv/iebuvets/zemes-dzilu-informacijas-siste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25558</Words>
  <Characters>14569</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Lubarte</dc:creator>
  <cp:lastModifiedBy>Inga Gavena</cp:lastModifiedBy>
  <cp:revision>2</cp:revision>
  <dcterms:created xsi:type="dcterms:W3CDTF">2025-08-03T11:25:00Z</dcterms:created>
  <dcterms:modified xsi:type="dcterms:W3CDTF">2025-08-03T11:25:00Z</dcterms:modified>
</cp:coreProperties>
</file>