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F363E" w14:textId="57562C4B" w:rsidR="00D15CAC" w:rsidRPr="00D32F22" w:rsidRDefault="00F877F5" w:rsidP="00F877F5">
      <w:pPr>
        <w:jc w:val="right"/>
        <w:rPr>
          <w:b/>
          <w:bCs/>
          <w:u w:val="single"/>
        </w:rPr>
      </w:pPr>
      <w:r>
        <w:rPr>
          <w:b/>
          <w:bCs/>
          <w:u w:val="single"/>
        </w:rPr>
        <w:t>17.pielikums</w:t>
      </w:r>
    </w:p>
    <w:p w14:paraId="4722746B" w14:textId="2FBB0D92" w:rsidR="00D15CAC" w:rsidRPr="00D32F22" w:rsidRDefault="00D15CAC" w:rsidP="00D32F22">
      <w:pPr>
        <w:jc w:val="center"/>
        <w:rPr>
          <w:b/>
          <w:bCs/>
          <w:u w:val="single"/>
        </w:rPr>
      </w:pPr>
      <w:bookmarkStart w:id="0" w:name="_Hlk207212902"/>
      <w:r w:rsidRPr="00D32F22">
        <w:rPr>
          <w:b/>
          <w:bCs/>
          <w:u w:val="single"/>
        </w:rPr>
        <w:t xml:space="preserve">Enerģētikas un vides aģentūras </w:t>
      </w:r>
      <w:bookmarkStart w:id="1" w:name="_Hlk197352327"/>
      <w:r w:rsidRPr="00D32F22">
        <w:rPr>
          <w:b/>
          <w:bCs/>
          <w:u w:val="single"/>
        </w:rPr>
        <w:t>2025.g.23.04. vēstules Nr. 10.4/840/2025</w:t>
      </w:r>
      <w:bookmarkEnd w:id="1"/>
      <w:r w:rsidRPr="00D32F22">
        <w:rPr>
          <w:b/>
          <w:bCs/>
          <w:u w:val="single"/>
        </w:rPr>
        <w:t xml:space="preserve"> </w:t>
      </w:r>
      <w:bookmarkEnd w:id="0"/>
      <w:r w:rsidRPr="00D32F22">
        <w:rPr>
          <w:b/>
          <w:bCs/>
          <w:u w:val="single"/>
        </w:rPr>
        <w:t>“Par adresāta uzklausīšanu un ietekmes uz vidi novērtējuma ziņojumu” ietverto prasību apkopojums.</w:t>
      </w:r>
    </w:p>
    <w:p w14:paraId="6B09C028" w14:textId="77777777" w:rsidR="00D15CAC" w:rsidRDefault="00D15CAC"/>
    <w:tbl>
      <w:tblPr>
        <w:tblStyle w:val="TableGrid"/>
        <w:tblW w:w="9634" w:type="dxa"/>
        <w:tblLook w:val="04A0" w:firstRow="1" w:lastRow="0" w:firstColumn="1" w:lastColumn="0" w:noHBand="0" w:noVBand="1"/>
      </w:tblPr>
      <w:tblGrid>
        <w:gridCol w:w="874"/>
        <w:gridCol w:w="3295"/>
        <w:gridCol w:w="2923"/>
        <w:gridCol w:w="2542"/>
      </w:tblGrid>
      <w:tr w:rsidR="00D15CAC" w:rsidRPr="00D15CAC" w14:paraId="15B2CFE6" w14:textId="77777777" w:rsidTr="00A8589F">
        <w:tc>
          <w:tcPr>
            <w:tcW w:w="874" w:type="dxa"/>
          </w:tcPr>
          <w:p w14:paraId="72ECB9CB" w14:textId="3745BFCA" w:rsidR="00D15CAC" w:rsidRPr="00D15CAC" w:rsidRDefault="00D15CAC" w:rsidP="00D15CAC">
            <w:pPr>
              <w:jc w:val="center"/>
              <w:rPr>
                <w:b/>
                <w:bCs/>
              </w:rPr>
            </w:pPr>
            <w:r w:rsidRPr="00D15CAC">
              <w:rPr>
                <w:b/>
                <w:bCs/>
              </w:rPr>
              <w:t>Nr. vēstulē</w:t>
            </w:r>
          </w:p>
        </w:tc>
        <w:tc>
          <w:tcPr>
            <w:tcW w:w="3295" w:type="dxa"/>
          </w:tcPr>
          <w:p w14:paraId="7EA08E5D" w14:textId="42B074D9" w:rsidR="00D15CAC" w:rsidRPr="00D15CAC" w:rsidRDefault="00D15CAC" w:rsidP="00D15CAC">
            <w:pPr>
              <w:jc w:val="center"/>
              <w:rPr>
                <w:b/>
                <w:bCs/>
              </w:rPr>
            </w:pPr>
            <w:r w:rsidRPr="00D15CAC">
              <w:rPr>
                <w:b/>
                <w:bCs/>
              </w:rPr>
              <w:t>Izteiktais aizrādījums/prasība</w:t>
            </w:r>
          </w:p>
        </w:tc>
        <w:tc>
          <w:tcPr>
            <w:tcW w:w="2923" w:type="dxa"/>
          </w:tcPr>
          <w:p w14:paraId="70827C18" w14:textId="48BD50DC" w:rsidR="00D15CAC" w:rsidRPr="00D15CAC" w:rsidRDefault="00D15CAC" w:rsidP="00D15CAC">
            <w:pPr>
              <w:jc w:val="center"/>
              <w:rPr>
                <w:b/>
                <w:bCs/>
              </w:rPr>
            </w:pPr>
            <w:r>
              <w:rPr>
                <w:b/>
                <w:bCs/>
              </w:rPr>
              <w:t>Veiktās darbības</w:t>
            </w:r>
          </w:p>
        </w:tc>
        <w:tc>
          <w:tcPr>
            <w:tcW w:w="2542" w:type="dxa"/>
          </w:tcPr>
          <w:p w14:paraId="58DF9DBA" w14:textId="2F1B962D" w:rsidR="00D15CAC" w:rsidRPr="00D15CAC" w:rsidRDefault="00D15CAC" w:rsidP="00D15CAC">
            <w:pPr>
              <w:jc w:val="center"/>
              <w:rPr>
                <w:b/>
                <w:bCs/>
              </w:rPr>
            </w:pPr>
            <w:r>
              <w:rPr>
                <w:b/>
                <w:bCs/>
              </w:rPr>
              <w:t>Komentāri</w:t>
            </w:r>
          </w:p>
        </w:tc>
      </w:tr>
      <w:tr w:rsidR="00D15CAC" w14:paraId="6EE4175E" w14:textId="77777777" w:rsidTr="00A8589F">
        <w:tc>
          <w:tcPr>
            <w:tcW w:w="874" w:type="dxa"/>
          </w:tcPr>
          <w:p w14:paraId="07DE708B" w14:textId="648EA677" w:rsidR="00D15CAC" w:rsidRDefault="00D15CAC">
            <w:r>
              <w:t>1.1.</w:t>
            </w:r>
          </w:p>
        </w:tc>
        <w:tc>
          <w:tcPr>
            <w:tcW w:w="3295" w:type="dxa"/>
          </w:tcPr>
          <w:p w14:paraId="7B902AA2" w14:textId="459D9DEE" w:rsidR="00D15CAC" w:rsidRDefault="00D15CAC">
            <w:r w:rsidRPr="00D15CAC">
              <w:t>Emisiju novērtējumā jāņem vērā arī tuvāko atradņu radītā ietekme uz gaisa kvalitāti (Programmas IV daļas 3.24. punkts u.c. punkti). Aģentūra vērš Ierosinātājas uzmanību uz apstākli, ka VSIA “Latvijas Vides, ģeoloģijas un meteoroloģijas centrs” (turpmāk – LVĢMC) sagatavotā fona informācija nesatur datus par derīgo izrakteņu atradnēs radītajām emisijām. Līdz ar to šī fona ietekmes daļa, līdzīgi kā ietekmes uz troksni vērtējumā, jāsagatavo un vērtējumam jāpievieno tā sagatavotājai</w:t>
            </w:r>
          </w:p>
        </w:tc>
        <w:tc>
          <w:tcPr>
            <w:tcW w:w="2923" w:type="dxa"/>
          </w:tcPr>
          <w:p w14:paraId="334E9E73" w14:textId="77777777" w:rsidR="00D15CAC" w:rsidRDefault="00F877F5">
            <w:r>
              <w:t xml:space="preserve">Ņemts vērā, pārstrādāts </w:t>
            </w:r>
            <w:r w:rsidRPr="00F877F5">
              <w:t>Gaisa piesārņojošo vielu emisijas aprēķin</w:t>
            </w:r>
            <w:r>
              <w:t>s un</w:t>
            </w:r>
            <w:r w:rsidRPr="00F877F5">
              <w:t xml:space="preserve"> piesārņojuma izklied</w:t>
            </w:r>
            <w:r>
              <w:t>es modelēšana</w:t>
            </w:r>
          </w:p>
          <w:p w14:paraId="64C07426" w14:textId="64C8F0DB" w:rsidR="00F877F5" w:rsidRDefault="00F877F5">
            <w:r>
              <w:t>Pārstrādāta IVN Ziņojuma 6.sadaļa P</w:t>
            </w:r>
            <w:r w:rsidRPr="00F877F5">
              <w:t>rognozētās gaisu piesārņojošo vielu emisijas un izmaiņas gaisa kvalitātē</w:t>
            </w:r>
          </w:p>
        </w:tc>
        <w:tc>
          <w:tcPr>
            <w:tcW w:w="2542" w:type="dxa"/>
          </w:tcPr>
          <w:p w14:paraId="4634B3D7" w14:textId="77777777" w:rsidR="00D15CAC" w:rsidRDefault="00D15CAC"/>
        </w:tc>
      </w:tr>
      <w:tr w:rsidR="00D15CAC" w14:paraId="023D9837" w14:textId="77777777" w:rsidTr="00A8589F">
        <w:tc>
          <w:tcPr>
            <w:tcW w:w="874" w:type="dxa"/>
          </w:tcPr>
          <w:p w14:paraId="3F61704D" w14:textId="03F270DD" w:rsidR="00D15CAC" w:rsidRDefault="00D15CAC">
            <w:r>
              <w:t>1.2.</w:t>
            </w:r>
          </w:p>
        </w:tc>
        <w:tc>
          <w:tcPr>
            <w:tcW w:w="3295" w:type="dxa"/>
          </w:tcPr>
          <w:p w14:paraId="181E1D41" w14:textId="366FC8DC" w:rsidR="00D15CAC" w:rsidRDefault="00D15CAC">
            <w:r w:rsidRPr="00D15CAC">
              <w:t xml:space="preserve">Novērtējumam jāpievieno emisiju izkliedes aprēķina programmas </w:t>
            </w:r>
            <w:proofErr w:type="spellStart"/>
            <w:r w:rsidRPr="00D15CAC">
              <w:t>ievaddati</w:t>
            </w:r>
            <w:proofErr w:type="spellEnd"/>
            <w:r w:rsidRPr="00D15CAC">
              <w:t xml:space="preserve"> (aprēķina programmas ģenerēti protokoli vai cita līdzvērtīga informācija) un LVĢMC sagatavotā izziņa, kā arī novērtējumā izmantotie meteoroloģiskie dati/ informācija, kā tas norādīts Noteikumu Nr. 182. attiecīgi 35. un 47. punktā</w:t>
            </w:r>
          </w:p>
        </w:tc>
        <w:tc>
          <w:tcPr>
            <w:tcW w:w="2923" w:type="dxa"/>
          </w:tcPr>
          <w:p w14:paraId="451EDAF5" w14:textId="1B10F05A" w:rsidR="00F877F5" w:rsidRDefault="00F877F5" w:rsidP="00F877F5">
            <w:r>
              <w:t>Ņemts vērā, pārstrādāts Gaisa piesārņojošo vielu emisijas aprēķins un piesārņojuma izkliedes modelēšana (5.pielikums)</w:t>
            </w:r>
          </w:p>
          <w:p w14:paraId="565513F0" w14:textId="4BC2B80E" w:rsidR="00D15CAC" w:rsidRDefault="00F877F5" w:rsidP="00F877F5">
            <w:r>
              <w:t>Pārstrādāta IVN Ziņojuma 6.sadaļa Prognozētās gaisu piesārņojošo vielu emisijas un izmaiņas gaisa kvalitātē</w:t>
            </w:r>
          </w:p>
        </w:tc>
        <w:tc>
          <w:tcPr>
            <w:tcW w:w="2542" w:type="dxa"/>
          </w:tcPr>
          <w:p w14:paraId="18EAC96A" w14:textId="77777777" w:rsidR="00D15CAC" w:rsidRDefault="00D15CAC"/>
        </w:tc>
      </w:tr>
      <w:tr w:rsidR="00D15CAC" w14:paraId="4926D132" w14:textId="77777777" w:rsidTr="00A8589F">
        <w:tc>
          <w:tcPr>
            <w:tcW w:w="874" w:type="dxa"/>
          </w:tcPr>
          <w:p w14:paraId="10052C02" w14:textId="0A1614CC" w:rsidR="00D15CAC" w:rsidRDefault="00D15CAC">
            <w:r>
              <w:t>2.</w:t>
            </w:r>
          </w:p>
        </w:tc>
        <w:tc>
          <w:tcPr>
            <w:tcW w:w="3295" w:type="dxa"/>
          </w:tcPr>
          <w:p w14:paraId="3175FAC8" w14:textId="1321F35C" w:rsidR="00D15CAC" w:rsidRDefault="00D15CAC">
            <w:r w:rsidRPr="00D15CAC">
              <w:t xml:space="preserve">Aģentūra Vēstulē Nr. 5-01/853/2024 (vēstules 9.1. punkts) norādīja, ka Paredzētās darbības radītā trokšņa ietekme nav vērtēta atbilstoši Ministru kabineta 2014. gada 7. janvāra noteikumu Nr. 16 “Trokšņa novērtēšanas un pārvaldības kārtība” (turpmāk – Noteikumi Nr. 16) 1. pielikumā norādītajām metodēm. Izvērtējot Ziņojumā un tā 6. pielikumā pievienoto informāciju Aģentūra konstatējusi, ka Ziņojums un tā 6. pielikums satur pretrunīgu informāciju par trokšņa aprēķina veikšanas metodēm rūpnieciskajam un </w:t>
            </w:r>
            <w:r w:rsidRPr="00D15CAC">
              <w:lastRenderedPageBreak/>
              <w:t xml:space="preserve">autotransporta  radītajam troksnim. Ziņojumam nav pievienota trokšņa izkliedes aprēķina datorprogrammas ģenerēti protokoli un </w:t>
            </w:r>
            <w:proofErr w:type="spellStart"/>
            <w:r w:rsidRPr="00D15CAC">
              <w:t>ievaddati</w:t>
            </w:r>
            <w:proofErr w:type="spellEnd"/>
            <w:r w:rsidRPr="00D15CAC">
              <w:t xml:space="preserve"> (prasība Programmas IV daļas 5.1. punkts), kuri ļautu pārliecināties par aprēķinā izmantotajām metodēm un standartiem</w:t>
            </w:r>
          </w:p>
        </w:tc>
        <w:tc>
          <w:tcPr>
            <w:tcW w:w="2923" w:type="dxa"/>
          </w:tcPr>
          <w:p w14:paraId="2A261B71" w14:textId="5549FD76" w:rsidR="00D15CAC" w:rsidRDefault="00F877F5">
            <w:r>
              <w:lastRenderedPageBreak/>
              <w:t>Ņemts vērā Pārstrādāts Trokšņa izplatības novērtējums (6.pielikums)</w:t>
            </w:r>
          </w:p>
          <w:p w14:paraId="290DBFD4" w14:textId="754ABCBD" w:rsidR="00F877F5" w:rsidRDefault="00F877F5">
            <w:r>
              <w:t xml:space="preserve">Pārstrādāta IVN Ziņojuma 7.sadaļa </w:t>
            </w:r>
            <w:r w:rsidRPr="00F877F5">
              <w:t>Trokšņa izplatības novērtējums dzīvojamajā zonā</w:t>
            </w:r>
          </w:p>
          <w:p w14:paraId="1622A207" w14:textId="406D75A2" w:rsidR="00F877F5" w:rsidRDefault="00F877F5"/>
        </w:tc>
        <w:tc>
          <w:tcPr>
            <w:tcW w:w="2542" w:type="dxa"/>
          </w:tcPr>
          <w:p w14:paraId="49AE9213" w14:textId="77777777" w:rsidR="00D15CAC" w:rsidRDefault="00D15CAC"/>
        </w:tc>
      </w:tr>
      <w:tr w:rsidR="00D15CAC" w14:paraId="21954604" w14:textId="77777777" w:rsidTr="00A8589F">
        <w:tc>
          <w:tcPr>
            <w:tcW w:w="874" w:type="dxa"/>
          </w:tcPr>
          <w:p w14:paraId="71345363" w14:textId="14C63FCC" w:rsidR="00D15CAC" w:rsidRDefault="00D15CAC">
            <w:r>
              <w:t>3.1.</w:t>
            </w:r>
          </w:p>
        </w:tc>
        <w:tc>
          <w:tcPr>
            <w:tcW w:w="3295" w:type="dxa"/>
          </w:tcPr>
          <w:p w14:paraId="7F6FF033" w14:textId="0F599EDD" w:rsidR="00D15CAC" w:rsidRDefault="00D15CAC">
            <w:r w:rsidRPr="00D15CAC">
              <w:t xml:space="preserve">Ņemot vērā Ziņojuma 4.4. nodaļā norādīto informāciju par paredzētās darbības īstenošanai nepieciešamo atmežojamo platību, kas var sasniegt 9 ha, Aģentūra atkārtoti norāda uz nepieciešamību papildināt Ziņojumu ar izvērstāku informāciju par veicamajiem darbiem, laika grafiku un apjomiem. Ziņojumā jānorāda atmežošanas grafiks – visa atradnes platība pirmajā gadā vai pa kārtām. Ņemot vērā, ka celmus paredzēts uzglabāt darbības vietā, </w:t>
            </w:r>
            <w:bookmarkStart w:id="2" w:name="_Hlk197352384"/>
            <w:r w:rsidRPr="00D15CAC">
              <w:t>jāveic aptuvenais celmu daudzuma (m3) novērtējums un jāprecizē uzglabāšanai nepieciešamās platības.</w:t>
            </w:r>
            <w:bookmarkEnd w:id="2"/>
            <w:r w:rsidRPr="00D15CAC">
              <w:t xml:space="preserve"> Ja tiek plānota celmu un zemas kvalitātes kokmateriālu </w:t>
            </w:r>
            <w:proofErr w:type="spellStart"/>
            <w:r w:rsidRPr="00D15CAC">
              <w:t>šķeldošana</w:t>
            </w:r>
            <w:proofErr w:type="spellEnd"/>
            <w:r w:rsidRPr="00D15CAC">
              <w:t xml:space="preserve"> Darbības vietā, jānovērtē kopējais nepieciešamais laiks šo darbību veikšanai un nepieciešamības gadījumā jāpapildina aprēķini emisiju gaisā un trokšņa novērtējumos</w:t>
            </w:r>
          </w:p>
        </w:tc>
        <w:tc>
          <w:tcPr>
            <w:tcW w:w="2923" w:type="dxa"/>
          </w:tcPr>
          <w:p w14:paraId="11E481AC" w14:textId="15EE0C34" w:rsidR="00BD0A19" w:rsidRDefault="00BD0A19">
            <w:r>
              <w:t xml:space="preserve">Ņemts vērā </w:t>
            </w:r>
          </w:p>
          <w:p w14:paraId="045EE2D2" w14:textId="053D0B3B" w:rsidR="00D15CAC" w:rsidRDefault="005C31E0">
            <w:r>
              <w:t xml:space="preserve">Pilnveidota IVN Ziņojuma sadaļa </w:t>
            </w:r>
            <w:r w:rsidRPr="005C31E0">
              <w:t>4.4.Atradnes sagatavošana derīgo izrakteņu ieguvei</w:t>
            </w:r>
          </w:p>
        </w:tc>
        <w:tc>
          <w:tcPr>
            <w:tcW w:w="2542" w:type="dxa"/>
          </w:tcPr>
          <w:p w14:paraId="4730435E" w14:textId="77777777" w:rsidR="00D15CAC" w:rsidRDefault="00D15CAC"/>
        </w:tc>
      </w:tr>
      <w:tr w:rsidR="00D15CAC" w14:paraId="64751371" w14:textId="77777777" w:rsidTr="00A8589F">
        <w:tc>
          <w:tcPr>
            <w:tcW w:w="874" w:type="dxa"/>
          </w:tcPr>
          <w:p w14:paraId="76ABCB43" w14:textId="3AC80281" w:rsidR="00D15CAC" w:rsidRDefault="00D15CAC">
            <w:r>
              <w:t>3.2.</w:t>
            </w:r>
          </w:p>
        </w:tc>
        <w:tc>
          <w:tcPr>
            <w:tcW w:w="3295" w:type="dxa"/>
          </w:tcPr>
          <w:p w14:paraId="37A1B1F1" w14:textId="0F48844E" w:rsidR="00D15CAC" w:rsidRDefault="00D15CAC">
            <w:r w:rsidRPr="00D15CAC">
              <w:t xml:space="preserve">Ņemot vērā, ka atbilstoši LVĢMC Zemes dzīļu informācijas sistēmā   pievienotajai informācijai smilts-grants atradnei “Foreles” līdz 2044. gadam ir spēkā esoša atradnes pase un ieguves atļauja, atradne no emisiju un trokšņa kumulatīvā (fona) novērtējuma izslēgta nepamatoti. Ziņojums un tā pielikumi labojami, veicot atkārtotu emisiju un trokšņa ietekmes novērtējumu. Aģentūra norāda, ka, vērtējot to atradņu ietekmi, kuras vēl nav uzsākušas darbību vai ir uz laiku to pārtraukušas, ja nepieciešams, </w:t>
            </w:r>
            <w:r w:rsidRPr="00D15CAC">
              <w:lastRenderedPageBreak/>
              <w:t>attiecīgi jākoriģē arī satiksmes intensitātes dati kopīgi izmantojamos ceļu posmos (reprezentatīvi posmi uz autoceļiem P28 un V297).</w:t>
            </w:r>
          </w:p>
        </w:tc>
        <w:tc>
          <w:tcPr>
            <w:tcW w:w="2923" w:type="dxa"/>
          </w:tcPr>
          <w:p w14:paraId="20D0B6D1" w14:textId="7570D8E0" w:rsidR="00BD0A19" w:rsidRDefault="00BD0A19">
            <w:r>
              <w:lastRenderedPageBreak/>
              <w:t>Ņemts vērā</w:t>
            </w:r>
          </w:p>
          <w:p w14:paraId="513433E8" w14:textId="2A9B3F1B" w:rsidR="00D15CAC" w:rsidRDefault="00826EF6">
            <w:r>
              <w:t>Pilnveidota Ziņojuma sadaļa  5.5.</w:t>
            </w:r>
            <w:r w:rsidRPr="00826EF6">
              <w:t>Citas derīgo izrakteņu atradnes un citi nozīmīgi objekti</w:t>
            </w:r>
            <w:r w:rsidR="00A31177">
              <w:t xml:space="preserve">, kā arī pārstrādāts </w:t>
            </w:r>
            <w:r w:rsidR="00A31177" w:rsidRPr="00A31177">
              <w:t>Trokšņa izplatības novērtējums (6.pielikums)</w:t>
            </w:r>
            <w:r w:rsidR="00A31177">
              <w:t xml:space="preserve"> un </w:t>
            </w:r>
            <w:r w:rsidR="00A31177" w:rsidRPr="00A31177">
              <w:t>Gaisa piesārņojošo vielu emisijas aprēķins un piesārņojuma izkliedes modelēšana (5.pielikums)</w:t>
            </w:r>
          </w:p>
        </w:tc>
        <w:tc>
          <w:tcPr>
            <w:tcW w:w="2542" w:type="dxa"/>
          </w:tcPr>
          <w:p w14:paraId="36C237F3" w14:textId="0112B67E" w:rsidR="00826EF6" w:rsidRDefault="00826EF6" w:rsidP="00826EF6">
            <w:r>
              <w:t xml:space="preserve">Vēršam EVA uzmanību uz t, ka par atradni Foreles un tajā iespējamo derīgo izrakteņu ieguves uzsākšanu izmantotajiem tehniskajiem līdzekļiem, ieguves, izvešanas apjomu un </w:t>
            </w:r>
            <w:proofErr w:type="spellStart"/>
            <w:r>
              <w:t>taml</w:t>
            </w:r>
            <w:proofErr w:type="spellEnd"/>
            <w:r>
              <w:t xml:space="preserve">. nav </w:t>
            </w:r>
            <w:r w:rsidR="003D0A2F">
              <w:t xml:space="preserve">pieejama detāla informācija.  </w:t>
            </w:r>
            <w:r>
              <w:t>Piecu  gadu laikā kopš Bieži sastopamo derīgo izrakteņu ieguves atļaujas saņemšanas nekādas darbības atradnē</w:t>
            </w:r>
            <w:r w:rsidR="00300BC8">
              <w:t xml:space="preserve">, tai </w:t>
            </w:r>
            <w:r w:rsidR="00300BC8">
              <w:lastRenderedPageBreak/>
              <w:t>skaitā teritorijas sagatavošana</w:t>
            </w:r>
            <w:r w:rsidR="001E2B3F">
              <w:t>,</w:t>
            </w:r>
            <w:r>
              <w:t xml:space="preserve"> nav veiktas </w:t>
            </w:r>
          </w:p>
          <w:p w14:paraId="5AB81E73" w14:textId="53691254" w:rsidR="00D15CAC" w:rsidRDefault="00826EF6" w:rsidP="00826EF6">
            <w:r>
              <w:t xml:space="preserve">Bez tam Valsts vides dienests  derīgo izrakteņu ieguvei atradnē “Foreles” ir veicis ietekmes uz vidi sākotnējo izvērtējumu Nr.VA19SI0037, kā rezultātā tika pieņemts lēmums par ietekmes uz vidi novērtējuma nepiemērošanu. Ņemot vērā, ka saskaņā ar Likuma Par ietekmes uz vidi novērtējumu 11.pantā noteiktajiem kritērijiem </w:t>
            </w:r>
            <w:r w:rsidRPr="00826EF6">
              <w:t>pēc kuriem novērtējama paredzētās darbības ietekme uz vidi</w:t>
            </w:r>
            <w:r>
              <w:t xml:space="preserve">, kritērijs  1.2. ir </w:t>
            </w:r>
            <w:r w:rsidRPr="00826EF6">
              <w:t>paredzētās darbības un citu darbību savstarpējā un kopējā ietekme</w:t>
            </w:r>
            <w:r w:rsidR="003D0A2F">
              <w:t>,</w:t>
            </w:r>
            <w:r>
              <w:t xml:space="preserve"> </w:t>
            </w:r>
            <w:r w:rsidR="003D0A2F">
              <w:t>a</w:t>
            </w:r>
            <w:r>
              <w:t xml:space="preserve">ttiecīgi </w:t>
            </w:r>
            <w:r w:rsidR="00300BC8">
              <w:t>I</w:t>
            </w:r>
            <w:r>
              <w:t xml:space="preserve">VN procedūras nepiemērošana  liecina, ka izvērtējuma procesā konstatēts, ka nav prognozējamas savstarpējas vai summāras ietekmes paredzētajai darbībai atradnē Foreles ar esošo derīgo izrakteņu ieguvi atradnēs Pāvuli, </w:t>
            </w:r>
            <w:proofErr w:type="spellStart"/>
            <w:r>
              <w:t>Pāvulkalni</w:t>
            </w:r>
            <w:proofErr w:type="spellEnd"/>
            <w:r>
              <w:t xml:space="preserve"> un </w:t>
            </w:r>
            <w:proofErr w:type="spellStart"/>
            <w:r>
              <w:t>Pāvulkalni</w:t>
            </w:r>
            <w:proofErr w:type="spellEnd"/>
            <w:r>
              <w:t xml:space="preserve"> 2020, pie tam jāatzīmē, ka atradne Pāvuli atrodas starp atradni Foreles un atradni Vālodzes. Tādējādi, ja netiek prognozētas summārās un savstarpējās ietekmes paredzētajai darbībai atradnē Foreles ar stipri tuvāk esošo atradni Pāvuli, nav prognozējamas savstarpējas un summāras ietekmes ar paredzēto darbību atradnē Vālodzes, kuru no </w:t>
            </w:r>
            <w:r>
              <w:lastRenderedPageBreak/>
              <w:t>atradnes Foreles šķir atradne Pāvuli</w:t>
            </w:r>
            <w:r w:rsidR="0077550C">
              <w:t>, kura praktiski norobežo atradnes Vālodzes un Foreles.</w:t>
            </w:r>
          </w:p>
        </w:tc>
      </w:tr>
      <w:tr w:rsidR="00D15CAC" w14:paraId="1B97D76F" w14:textId="77777777" w:rsidTr="00A8589F">
        <w:tc>
          <w:tcPr>
            <w:tcW w:w="874" w:type="dxa"/>
          </w:tcPr>
          <w:p w14:paraId="056E5D29" w14:textId="7CB562E6" w:rsidR="00D15CAC" w:rsidRDefault="00D15CAC">
            <w:r>
              <w:lastRenderedPageBreak/>
              <w:t>3.3.1.</w:t>
            </w:r>
          </w:p>
        </w:tc>
        <w:tc>
          <w:tcPr>
            <w:tcW w:w="3295" w:type="dxa"/>
          </w:tcPr>
          <w:p w14:paraId="75F88E8F" w14:textId="67AD19C8" w:rsidR="00D15CAC" w:rsidRDefault="00D15CAC">
            <w:r w:rsidRPr="00D15CAC">
              <w:t>Izvērtējot Ziņojuma aktuālajai redakcijai (2. redakcija) pievienotā 5. pielikuma (emisiju novērtējums) saturu, Aģentūra konstatē, ka tas satur tikai Ziņojuma 1. redakcijas 5. pielikuma papildinājumus, līdz ar to tā saturs neatbilst pilnvērtīgam emisiju novērtējumam. Aģentūra norāda, ka, veicot būtiskus labojumus un papildinājumus Ziņojumā vai jebkurā tā pielikumā, tie jāiestrādā attiecīgajās nodaļās un jāiesniedz vērtēšanai pilnā apjomā.</w:t>
            </w:r>
          </w:p>
        </w:tc>
        <w:tc>
          <w:tcPr>
            <w:tcW w:w="2923" w:type="dxa"/>
          </w:tcPr>
          <w:p w14:paraId="6C35708F" w14:textId="77777777" w:rsidR="00D15CAC" w:rsidRDefault="00A31177">
            <w:r>
              <w:t>Ņemts vērā.</w:t>
            </w:r>
          </w:p>
          <w:p w14:paraId="1702989F" w14:textId="56C71E76" w:rsidR="00BD0A19" w:rsidRDefault="00BD0A19" w:rsidP="00BD0A19">
            <w:r>
              <w:t>Pārstrādāts Gaisa piesārņojošo vielu emisijas aprēķins un piesārņojuma izkliedes modelēšana (5.pielikums)</w:t>
            </w:r>
          </w:p>
          <w:p w14:paraId="38E9CF72" w14:textId="59A5CE86" w:rsidR="00BD0A19" w:rsidRDefault="00BD0A19" w:rsidP="00BD0A19">
            <w:r>
              <w:t>Pārstrādāta IVN Ziņojuma 6.sadaļa Prognozētās gaisu piesārņojošo vielu emisijas un izmaiņas gaisa kvalitātē</w:t>
            </w:r>
          </w:p>
          <w:p w14:paraId="5B820BA5" w14:textId="072DFE9C" w:rsidR="00A31177" w:rsidRDefault="00A31177"/>
        </w:tc>
        <w:tc>
          <w:tcPr>
            <w:tcW w:w="2542" w:type="dxa"/>
          </w:tcPr>
          <w:p w14:paraId="270590FC" w14:textId="77777777" w:rsidR="00D15CAC" w:rsidRDefault="00D15CAC"/>
        </w:tc>
      </w:tr>
      <w:tr w:rsidR="00D15CAC" w14:paraId="1A99B9F1" w14:textId="77777777" w:rsidTr="00A8589F">
        <w:tc>
          <w:tcPr>
            <w:tcW w:w="874" w:type="dxa"/>
          </w:tcPr>
          <w:p w14:paraId="2B308688" w14:textId="19386D21" w:rsidR="00D15CAC" w:rsidRDefault="00D15CAC">
            <w:r>
              <w:t>3.3.2.</w:t>
            </w:r>
          </w:p>
        </w:tc>
        <w:tc>
          <w:tcPr>
            <w:tcW w:w="3295" w:type="dxa"/>
          </w:tcPr>
          <w:p w14:paraId="7FA5D4A3" w14:textId="50BEFEF8" w:rsidR="00D15CAC" w:rsidRDefault="00D15CAC">
            <w:r w:rsidRPr="00D15CAC">
              <w:t>Ziņojuma 6.1.1. tabulā norādīts, ka emisiju izkliedes aprēķinos pieņemtais emisijas avotu laukums ir 106 ha (atradnes kopējais laukums ir aptuveni 8 ha) un visas iekārtas un darbības apvienotas vienā emisiju avotā. Aģentūra jau Vēstulē Nr. 5-01/853/2024 (vēstules 9.3. punkts) norādīja, ka, definējot emisiju avotus (arī trokšņa ietekmes novērtējumā), jāņem vērā viena gada laikā apgūstama ieguves laukuma platība. Savukārt vērtējumam jāizvēlas tāda laukuma novietojuma pozīcija, kura atbilst sliktākajai iespējamai situācijai, proti, emisiju avoti novietoti jutīgo teritoriju (dzīvojamo māju) tuvumā. Norādījums nav ņemts vērā, vērtējums atbilstoši labojams.</w:t>
            </w:r>
          </w:p>
        </w:tc>
        <w:tc>
          <w:tcPr>
            <w:tcW w:w="2923" w:type="dxa"/>
          </w:tcPr>
          <w:p w14:paraId="234DA9EE" w14:textId="77777777" w:rsidR="00BD0A19" w:rsidRDefault="00BD0A19" w:rsidP="00BD0A19">
            <w:r>
              <w:t>Ņemts vērā.</w:t>
            </w:r>
          </w:p>
          <w:p w14:paraId="757CD823" w14:textId="77777777" w:rsidR="00BD0A19" w:rsidRDefault="00BD0A19" w:rsidP="00BD0A19">
            <w:r>
              <w:t>Pārstrādāts Gaisa piesārņojošo vielu emisijas aprēķins un piesārņojuma izkliedes modelēšana (5.pielikums)</w:t>
            </w:r>
          </w:p>
          <w:p w14:paraId="17DB6B20" w14:textId="517CBE42" w:rsidR="00D15CAC" w:rsidRDefault="00BD0A19" w:rsidP="00BD0A19">
            <w:r>
              <w:t>Pārstrādāta IVN Ziņojuma 6.sadaļa Prognozētās gaisu piesārņojošo vielu emisijas un izmaiņas gaisa kvalitātē</w:t>
            </w:r>
          </w:p>
        </w:tc>
        <w:tc>
          <w:tcPr>
            <w:tcW w:w="2542" w:type="dxa"/>
          </w:tcPr>
          <w:p w14:paraId="57A9727B" w14:textId="77777777" w:rsidR="00D15CAC" w:rsidRDefault="00D15CAC"/>
        </w:tc>
      </w:tr>
      <w:tr w:rsidR="00D15CAC" w14:paraId="396082CC" w14:textId="77777777" w:rsidTr="00A8589F">
        <w:tc>
          <w:tcPr>
            <w:tcW w:w="874" w:type="dxa"/>
          </w:tcPr>
          <w:p w14:paraId="167F238D" w14:textId="60916B24" w:rsidR="00D15CAC" w:rsidRDefault="00D15CAC">
            <w:r>
              <w:t>3.3.3.</w:t>
            </w:r>
          </w:p>
        </w:tc>
        <w:tc>
          <w:tcPr>
            <w:tcW w:w="3295" w:type="dxa"/>
          </w:tcPr>
          <w:p w14:paraId="26839943" w14:textId="5554B0C8" w:rsidR="00D15CAC" w:rsidRDefault="00D15CAC">
            <w:r w:rsidRPr="00D15CAC">
              <w:t xml:space="preserve">Emisijas aprēķina katram to emitētājam (iekārta vai process, piemēram, krautņu un ceļu putēšana) atsevišķi, bet modelī iespējama to grupēšana vienā loģiskā avotā. Veidojot apvienotos emisijas avotus Ziņojumā jāpievieno pārskatāma informācija, kā tas ticis darīts. </w:t>
            </w:r>
            <w:r w:rsidRPr="00D15CAC">
              <w:lastRenderedPageBreak/>
              <w:t xml:space="preserve">Grupas parametriem jāsakrīt ar tiem, kas tiek izmantoti modeļa </w:t>
            </w:r>
            <w:proofErr w:type="spellStart"/>
            <w:r w:rsidRPr="00D15CAC">
              <w:t>ievaddatos</w:t>
            </w:r>
            <w:proofErr w:type="spellEnd"/>
            <w:r w:rsidRPr="00D15CAC">
              <w:t>.</w:t>
            </w:r>
          </w:p>
        </w:tc>
        <w:tc>
          <w:tcPr>
            <w:tcW w:w="2923" w:type="dxa"/>
          </w:tcPr>
          <w:p w14:paraId="399FF77D" w14:textId="77777777" w:rsidR="00BD0A19" w:rsidRDefault="00BD0A19" w:rsidP="00BD0A19">
            <w:r>
              <w:lastRenderedPageBreak/>
              <w:t>Ņemts vērā.</w:t>
            </w:r>
          </w:p>
          <w:p w14:paraId="48E63AD2" w14:textId="77777777" w:rsidR="00BD0A19" w:rsidRDefault="00BD0A19" w:rsidP="00BD0A19">
            <w:r>
              <w:t>Pārstrādāts Gaisa piesārņojošo vielu emisijas aprēķins un piesārņojuma izkliedes modelēšana (5.pielikums)</w:t>
            </w:r>
          </w:p>
          <w:p w14:paraId="219B6C4B" w14:textId="436B5DE9" w:rsidR="00D15CAC" w:rsidRDefault="00BD0A19" w:rsidP="00BD0A19">
            <w:r>
              <w:t xml:space="preserve">Pārstrādāta IVN Ziņojuma 6.sadaļa Prognozētās gaisu </w:t>
            </w:r>
            <w:r>
              <w:lastRenderedPageBreak/>
              <w:t>piesārņojošo vielu emisijas un izmaiņas gaisa kvalitātē</w:t>
            </w:r>
          </w:p>
        </w:tc>
        <w:tc>
          <w:tcPr>
            <w:tcW w:w="2542" w:type="dxa"/>
          </w:tcPr>
          <w:p w14:paraId="629641A0" w14:textId="77777777" w:rsidR="00D15CAC" w:rsidRDefault="00D15CAC"/>
        </w:tc>
      </w:tr>
      <w:tr w:rsidR="00D15CAC" w14:paraId="711F4EF3" w14:textId="77777777" w:rsidTr="00A8589F">
        <w:tc>
          <w:tcPr>
            <w:tcW w:w="874" w:type="dxa"/>
          </w:tcPr>
          <w:p w14:paraId="39009CDD" w14:textId="6E9BE7F4" w:rsidR="00D15CAC" w:rsidRDefault="00A8589F">
            <w:r>
              <w:t>3.3.4.</w:t>
            </w:r>
          </w:p>
        </w:tc>
        <w:tc>
          <w:tcPr>
            <w:tcW w:w="3295" w:type="dxa"/>
          </w:tcPr>
          <w:p w14:paraId="678E91EA" w14:textId="6435C343" w:rsidR="00D15CAC" w:rsidRDefault="00A8589F">
            <w:r w:rsidRPr="00A8589F">
              <w:t xml:space="preserve">Aģentūras ieskatā kā stacionāri avoti var tikt vērtēti tikai apstrādes jeb tehnoloģiskajā laukumā notiekoši procesi un veiktās darbības, kā arī emisijas no krautnēm, ja visu atradnes izstrādes laiku to novietojums netiks mainīts vai to novietojums atbilst sliktākajam iespējamajam risinājumam. Izvērtējams un skaidrojams, kuros gadījumos šādi emisijas avoti vērtējami kā </w:t>
            </w:r>
            <w:proofErr w:type="spellStart"/>
            <w:r w:rsidRPr="00A8589F">
              <w:t>tilpumveida</w:t>
            </w:r>
            <w:proofErr w:type="spellEnd"/>
            <w:r w:rsidRPr="00A8589F">
              <w:t xml:space="preserve"> vai </w:t>
            </w:r>
            <w:proofErr w:type="spellStart"/>
            <w:r w:rsidRPr="00A8589F">
              <w:t>laukumveida</w:t>
            </w:r>
            <w:proofErr w:type="spellEnd"/>
            <w:r w:rsidRPr="00A8589F">
              <w:t xml:space="preserve"> avoti, </w:t>
            </w:r>
            <w:proofErr w:type="spellStart"/>
            <w:r w:rsidRPr="00A8589F">
              <w:t>ievaddatos</w:t>
            </w:r>
            <w:proofErr w:type="spellEnd"/>
            <w:r w:rsidRPr="00A8589F">
              <w:t xml:space="preserve"> un avotu raksturojumā attiecīgi norādot emisijas daudzumus, kas izteikti kā g/s*m2 vai g/s*m3. Arī vērtējot blakus esošo atradņu emisijas, cik tālu tas iespējams pieejamās informācijas kontekstā, izmantojama līdzīga pieeja</w:t>
            </w:r>
          </w:p>
        </w:tc>
        <w:tc>
          <w:tcPr>
            <w:tcW w:w="2923" w:type="dxa"/>
          </w:tcPr>
          <w:p w14:paraId="6B578381" w14:textId="77777777" w:rsidR="00BD0A19" w:rsidRDefault="00BD0A19" w:rsidP="00BD0A19">
            <w:r>
              <w:t>Ņemts vērā.</w:t>
            </w:r>
          </w:p>
          <w:p w14:paraId="175CE4A7" w14:textId="77777777" w:rsidR="00BD0A19" w:rsidRDefault="00BD0A19" w:rsidP="00BD0A19">
            <w:r>
              <w:t>Pārstrādāts Gaisa piesārņojošo vielu emisijas aprēķins un piesārņojuma izkliedes modelēšana (5.pielikums)</w:t>
            </w:r>
          </w:p>
          <w:p w14:paraId="6380B0B9" w14:textId="61BC86A6" w:rsidR="00D15CAC" w:rsidRDefault="00BD0A19" w:rsidP="00BD0A19">
            <w:r>
              <w:t>Pārstrādāta IVN Ziņojuma 6.sadaļa Prognozētās gaisu piesārņojošo vielu emisijas un izmaiņas gaisa kvalitātē</w:t>
            </w:r>
          </w:p>
        </w:tc>
        <w:tc>
          <w:tcPr>
            <w:tcW w:w="2542" w:type="dxa"/>
          </w:tcPr>
          <w:p w14:paraId="5B088691" w14:textId="77777777" w:rsidR="00D15CAC" w:rsidRDefault="00D15CAC"/>
        </w:tc>
      </w:tr>
      <w:tr w:rsidR="00D15CAC" w14:paraId="38329B6B" w14:textId="77777777" w:rsidTr="00A8589F">
        <w:tc>
          <w:tcPr>
            <w:tcW w:w="874" w:type="dxa"/>
          </w:tcPr>
          <w:p w14:paraId="5924BE28" w14:textId="3098859A" w:rsidR="00D15CAC" w:rsidRDefault="00A8589F">
            <w:r>
              <w:t>3.3.5.</w:t>
            </w:r>
          </w:p>
        </w:tc>
        <w:tc>
          <w:tcPr>
            <w:tcW w:w="3295" w:type="dxa"/>
          </w:tcPr>
          <w:p w14:paraId="719FE45D" w14:textId="18A17F07" w:rsidR="00D15CAC" w:rsidRDefault="00A8589F">
            <w:r w:rsidRPr="00A8589F">
              <w:t xml:space="preserve">Aģentūra norāda, ka emisijas faktoru izvēlei jānotiek atbilstoši Noteikumu Nr. 182 10.3. punktā noteiktajam prioritārajam sarakstam. Līdz ar to </w:t>
            </w:r>
            <w:proofErr w:type="spellStart"/>
            <w:r w:rsidRPr="00A8589F">
              <w:t>pirmšķietami</w:t>
            </w:r>
            <w:proofErr w:type="spellEnd"/>
            <w:r w:rsidRPr="00A8589F">
              <w:t xml:space="preserve"> konstatējams, ka Austrālijas datu bāze  autotransporta un karjera tehnikas radīto emisiju novērtēšanai izmantota nepamatoti. Aprēķinos izmantotie pieņēmumi caurlūkojami arī attiecībā uz vērtētās tehnikas kravnesību un dzinēja klasi (EURO un EU </w:t>
            </w:r>
            <w:proofErr w:type="spellStart"/>
            <w:r w:rsidRPr="00A8589F">
              <w:t>Stage</w:t>
            </w:r>
            <w:proofErr w:type="spellEnd"/>
            <w:r w:rsidRPr="00A8589F">
              <w:t xml:space="preserve"> kategorijas). Ņemams vērā, ka norādītie parametri var tikt noteikti kā nosacījumi, kuru atbilstība jānodrošina saskaņojot derīgā izrakteņa ieguves projektu.</w:t>
            </w:r>
          </w:p>
        </w:tc>
        <w:tc>
          <w:tcPr>
            <w:tcW w:w="2923" w:type="dxa"/>
          </w:tcPr>
          <w:p w14:paraId="7E062614" w14:textId="77777777" w:rsidR="00BD0A19" w:rsidRDefault="00BD0A19" w:rsidP="00BD0A19">
            <w:r>
              <w:t>Ņemts vērā.</w:t>
            </w:r>
          </w:p>
          <w:p w14:paraId="4CEFC48D" w14:textId="77777777" w:rsidR="00BD0A19" w:rsidRDefault="00BD0A19" w:rsidP="00BD0A19">
            <w:r>
              <w:t>Pārstrādāts Gaisa piesārņojošo vielu emisijas aprēķins un piesārņojuma izkliedes modelēšana (5.pielikums)</w:t>
            </w:r>
          </w:p>
          <w:p w14:paraId="1E08A9D7" w14:textId="255435A8" w:rsidR="00D15CAC" w:rsidRDefault="00BD0A19" w:rsidP="00BD0A19">
            <w:r>
              <w:t>Pārstrādāta IVN Ziņojuma 6.sadaļa Prognozētās gaisu piesārņojošo vielu emisijas un izmaiņas gaisa kvalitātē</w:t>
            </w:r>
          </w:p>
        </w:tc>
        <w:tc>
          <w:tcPr>
            <w:tcW w:w="2542" w:type="dxa"/>
          </w:tcPr>
          <w:p w14:paraId="4D685FDE" w14:textId="77777777" w:rsidR="00D15CAC" w:rsidRDefault="00D15CAC"/>
        </w:tc>
      </w:tr>
      <w:tr w:rsidR="00D15CAC" w14:paraId="3C990468" w14:textId="77777777" w:rsidTr="00A8589F">
        <w:tc>
          <w:tcPr>
            <w:tcW w:w="874" w:type="dxa"/>
          </w:tcPr>
          <w:p w14:paraId="2A6E164F" w14:textId="5AA48ABF" w:rsidR="00D15CAC" w:rsidRDefault="00A8589F">
            <w:r>
              <w:t>3.4.1.</w:t>
            </w:r>
          </w:p>
        </w:tc>
        <w:tc>
          <w:tcPr>
            <w:tcW w:w="3295" w:type="dxa"/>
          </w:tcPr>
          <w:p w14:paraId="5C5A9104" w14:textId="673604DA" w:rsidR="00D15CAC" w:rsidRDefault="00A8589F">
            <w:r w:rsidRPr="00A8589F">
              <w:t xml:space="preserve">Aģentūra atkārtoti (skat. arī vēstules Nr. 5-01/853/2024 9.2. punktu) vērš Izstrādātājas uzmanību uz apstākli, ka Noteikumos Nr. 16 ir noteikti robežlielumi gan rūpniecisko avotu, gan satiksmes radītajam troksnim. Līdz ar to Ziņojumā veiktajam trokšņa ietekmes </w:t>
            </w:r>
            <w:r w:rsidRPr="00A8589F">
              <w:lastRenderedPageBreak/>
              <w:t>novērtējumam jāsniedz nepārprotams vērtējums un iegūto rezultātu analīze par Paredzētās darbības ietekmes zonā sagaidāmajām izmaiņām. Proti, ir nosakāms: Paredzētās darbības rūpniecisko trokšņa avotu (darbības atradnes teritorijā) radītais troksnis un tā ietekmes zona (attālumi, kuros trokšņa ietekme vairs nepārsniedz normatīvi noteiktos robežlielumus); tuvākajā apkārtnē esošo citu rūpniecisko trokšņa avotu (derīgo izrakteņu ieguve un citi ražošanas objekti) radītais summārais troksnis; jānovērtē ar Paredzēto darbību saistītā autotransporta (satiksmes) radītais troksnis (derīgā izrakteņa izvešana no atradnes) uzņēmumam tuvākajās teritorijās un reprezentatīvā autoceļa posmā; jānovērtē satiksmes radītais troksnis esošajai situācijai. Izvērtējams, kā mainīsies trokšņa situācija (veicams summārās - fona un operatora radītās - ietekmes vērtējums) jutīgajos objektos pēc Paredzētās darbības uzsākšanas. Sagatavojams skaidrojums, kurš no trokšņa ietekmes veidiem (rūpnieciskais vai satiksmes) rada būtiskāko ietekmi vērtētajos objektos.</w:t>
            </w:r>
          </w:p>
        </w:tc>
        <w:tc>
          <w:tcPr>
            <w:tcW w:w="2923" w:type="dxa"/>
          </w:tcPr>
          <w:p w14:paraId="206992E1" w14:textId="77777777" w:rsidR="00BD0A19" w:rsidRDefault="00BD0A19" w:rsidP="00BD0A19">
            <w:r>
              <w:lastRenderedPageBreak/>
              <w:t xml:space="preserve">Ņemts vērā </w:t>
            </w:r>
          </w:p>
          <w:p w14:paraId="2804171A" w14:textId="0522BAEC" w:rsidR="00BD0A19" w:rsidRDefault="00BD0A19" w:rsidP="00BD0A19">
            <w:r>
              <w:t>Pārstrādāts Trokšņa izplatības novērtējums (6.pielikums)</w:t>
            </w:r>
          </w:p>
          <w:p w14:paraId="197A28C3" w14:textId="3FF71663" w:rsidR="00D15CAC" w:rsidRDefault="00BD0A19" w:rsidP="00BD0A19">
            <w:r>
              <w:t>Pārstrādāta IVN Ziņojuma 7.sadaļa Trokšņa izplatības novērtējums dzīvojamajā zonā</w:t>
            </w:r>
          </w:p>
        </w:tc>
        <w:tc>
          <w:tcPr>
            <w:tcW w:w="2542" w:type="dxa"/>
          </w:tcPr>
          <w:p w14:paraId="7E7A804D" w14:textId="77777777" w:rsidR="00D15CAC" w:rsidRDefault="00D15CAC"/>
        </w:tc>
      </w:tr>
      <w:tr w:rsidR="00D15CAC" w14:paraId="7898FB9B" w14:textId="77777777" w:rsidTr="00A8589F">
        <w:tc>
          <w:tcPr>
            <w:tcW w:w="874" w:type="dxa"/>
          </w:tcPr>
          <w:p w14:paraId="554ADC20" w14:textId="196B7735" w:rsidR="00D15CAC" w:rsidRDefault="00A8589F">
            <w:r>
              <w:t>3.4.2.</w:t>
            </w:r>
          </w:p>
        </w:tc>
        <w:tc>
          <w:tcPr>
            <w:tcW w:w="3295" w:type="dxa"/>
          </w:tcPr>
          <w:p w14:paraId="33EBA95E" w14:textId="656DCDCC" w:rsidR="00D15CAC" w:rsidRDefault="00A8589F">
            <w:r w:rsidRPr="00A8589F">
              <w:t xml:space="preserve">Ņemot vērā, ka arī Ziņojuma papildinātajā redakcijā nav pievienoti trokšņa modelēšanas programmas </w:t>
            </w:r>
            <w:proofErr w:type="spellStart"/>
            <w:r w:rsidRPr="00A8589F">
              <w:t>ievaddati</w:t>
            </w:r>
            <w:proofErr w:type="spellEnd"/>
            <w:r w:rsidRPr="00A8589F">
              <w:t xml:space="preserve">, Aģentūra sniedz skaidrojumu par IVN projektos pievienojamo informāciju. </w:t>
            </w:r>
            <w:proofErr w:type="spellStart"/>
            <w:r w:rsidRPr="00A8589F">
              <w:t>Ievaddati</w:t>
            </w:r>
            <w:proofErr w:type="spellEnd"/>
            <w:r w:rsidRPr="00A8589F">
              <w:t xml:space="preserve"> iesniedzami elektroniskā formātā, dodot iespēju pārbaudīt iesniegtā novērtējuma atbilstību informācijai Ziņojuma tekstuālajā daļā. Ar </w:t>
            </w:r>
            <w:proofErr w:type="spellStart"/>
            <w:r w:rsidRPr="00A8589F">
              <w:t>standartprogrammām</w:t>
            </w:r>
            <w:proofErr w:type="spellEnd"/>
            <w:r w:rsidRPr="00A8589F">
              <w:t xml:space="preserve"> lasāmā/ skatāmā formātā sagatavojamas būtisku informāciju saturošas </w:t>
            </w:r>
            <w:proofErr w:type="spellStart"/>
            <w:r w:rsidRPr="00A8589F">
              <w:t>ievaddatu</w:t>
            </w:r>
            <w:proofErr w:type="spellEnd"/>
            <w:r w:rsidRPr="00A8589F">
              <w:t xml:space="preserve"> datnes (modelēšanas programmas </w:t>
            </w:r>
            <w:r w:rsidRPr="00A8589F">
              <w:lastRenderedPageBreak/>
              <w:t xml:space="preserve">sagatavoti/ ģenerēti protokoli). Piemēram, datnes, no kurām redzams aprēķinos izmantotais standarts, vērtēto avotu radītā trokšņa parametri (skaņas jauda, spiediens vai citi parametri, ko izmanto konkrētā programma), kā ņemta vērā ceļa seguma kvalitāte, </w:t>
            </w:r>
            <w:proofErr w:type="spellStart"/>
            <w:r w:rsidRPr="00A8589F">
              <w:t>meteoapstākļi</w:t>
            </w:r>
            <w:proofErr w:type="spellEnd"/>
            <w:r w:rsidRPr="00A8589F">
              <w:t xml:space="preserve">, troksni mazinošo risinājumu parametri un citi konkrētajam projektam būtiski parametri. Ziņojumam ar </w:t>
            </w:r>
            <w:proofErr w:type="spellStart"/>
            <w:r w:rsidRPr="00A8589F">
              <w:t>standartprogrammām</w:t>
            </w:r>
            <w:proofErr w:type="spellEnd"/>
            <w:r w:rsidRPr="00A8589F">
              <w:t xml:space="preserve"> lasāmā formātā pievienojami arī modelēšanas programmas sagatavoti/ ģenerēti novērtējuma rezultāti vērtētajos jutīgajos objektos (viensētas vai citas dzīvojamās un sabiedriskās ēkas) vai zonās. Savukārt </w:t>
            </w:r>
            <w:proofErr w:type="spellStart"/>
            <w:r w:rsidRPr="00A8589F">
              <w:t>ievaddati</w:t>
            </w:r>
            <w:proofErr w:type="spellEnd"/>
            <w:r w:rsidRPr="00A8589F">
              <w:t xml:space="preserve"> pilnā apjomā iesniedzami formātā un apjomā, kas jebkurai trešajai personai nodrošinātu pilnvērtīgu datu kopu, kura ļauj rekonstruēt trokšņa (arī gaisa novērtējuma) modeli, atkārtoti veikt aprēķinus (tajā skaitā izmantot tos kumulatīvo ietekmju vērtējumā citos projektos) un pārliecināties par veikto rezultātu ticamību, ja šāda nepieciešamība tiek konstatēta.</w:t>
            </w:r>
          </w:p>
        </w:tc>
        <w:tc>
          <w:tcPr>
            <w:tcW w:w="2923" w:type="dxa"/>
          </w:tcPr>
          <w:p w14:paraId="12568FF4" w14:textId="77777777" w:rsidR="00BD0A19" w:rsidRDefault="00BD0A19" w:rsidP="00BD0A19">
            <w:r>
              <w:lastRenderedPageBreak/>
              <w:t xml:space="preserve">Ņemts vērā </w:t>
            </w:r>
          </w:p>
          <w:p w14:paraId="2E05FBCC" w14:textId="3A05FA0D" w:rsidR="00BD0A19" w:rsidRDefault="00BD0A19" w:rsidP="00BD0A19">
            <w:r>
              <w:t>Pārstrādāts Trokšņa izplatības novērtējums (6.pielikums)</w:t>
            </w:r>
          </w:p>
          <w:p w14:paraId="72CD4AA5" w14:textId="36998166" w:rsidR="00D15CAC" w:rsidRDefault="00BD0A19" w:rsidP="00BD0A19">
            <w:r>
              <w:t>Pārstrādāta IVN Ziņojuma 7.sadaļa Trokšņa izplatības novērtējums dzīvojamajā zonā</w:t>
            </w:r>
          </w:p>
        </w:tc>
        <w:tc>
          <w:tcPr>
            <w:tcW w:w="2542" w:type="dxa"/>
          </w:tcPr>
          <w:p w14:paraId="48B5916E" w14:textId="77777777" w:rsidR="00D15CAC" w:rsidRDefault="00D15CAC"/>
        </w:tc>
      </w:tr>
      <w:tr w:rsidR="00D15CAC" w14:paraId="35A7A22E" w14:textId="77777777" w:rsidTr="00A8589F">
        <w:tc>
          <w:tcPr>
            <w:tcW w:w="874" w:type="dxa"/>
          </w:tcPr>
          <w:p w14:paraId="1FF95090" w14:textId="4746FA97" w:rsidR="00D15CAC" w:rsidRDefault="00A8589F">
            <w:r>
              <w:t>3.4.4.</w:t>
            </w:r>
          </w:p>
        </w:tc>
        <w:tc>
          <w:tcPr>
            <w:tcW w:w="3295" w:type="dxa"/>
          </w:tcPr>
          <w:p w14:paraId="3A94637A" w14:textId="0CE8EF6D" w:rsidR="00D15CAC" w:rsidRDefault="00A8589F">
            <w:r w:rsidRPr="00A8589F">
              <w:t>Aģentūra vērš Izstrādātājas uzmanību uz Noteikumu Nr. 16 17.1. punktā noteikto attiecībā uz trokšņa izkliedes karšu noformējumu: kartes sagatavo uz valstī noteiktās topogrāfiskās kartes pamatnes tādā mērogā, lai kartē būtu skaidri izšķirami trokšņu avoti kartējamā rajonā un noteiktam trokšņa rādītāja līmenim atbilstošās kontūras. Ja nepieciešams, kartes pievieno kā atsevišķu pielikumu augstākas izšķirtspējas kvalitātē. Ja Paredzētā darbība nenotiek nakts vai vakara periodā, kartes un apkopojošās tabulas sagatavo tikai dienas periodam.</w:t>
            </w:r>
          </w:p>
        </w:tc>
        <w:tc>
          <w:tcPr>
            <w:tcW w:w="2923" w:type="dxa"/>
          </w:tcPr>
          <w:p w14:paraId="3D4B800D" w14:textId="77777777" w:rsidR="00BD0A19" w:rsidRDefault="00BD0A19" w:rsidP="00BD0A19">
            <w:r>
              <w:t>Ņemts vērā Pārstrādāts Trokšņa izplatības novērtējums (6.pielikums)</w:t>
            </w:r>
          </w:p>
          <w:p w14:paraId="69B91DE1" w14:textId="147C3A48" w:rsidR="00D15CAC" w:rsidRDefault="00BD0A19" w:rsidP="00BD0A19">
            <w:r>
              <w:t>Pārstrādāta IVN Ziņojuma 7.sadaļa Trokšņa izplatības novērtējums dzīvojamajā zonā</w:t>
            </w:r>
          </w:p>
        </w:tc>
        <w:tc>
          <w:tcPr>
            <w:tcW w:w="2542" w:type="dxa"/>
          </w:tcPr>
          <w:p w14:paraId="7DBC236A" w14:textId="77777777" w:rsidR="00D15CAC" w:rsidRDefault="00D15CAC"/>
        </w:tc>
      </w:tr>
    </w:tbl>
    <w:p w14:paraId="7981F9AE" w14:textId="77777777" w:rsidR="00C13A5E" w:rsidRDefault="00C13A5E"/>
    <w:sectPr w:rsidR="00C13A5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CAC"/>
    <w:rsid w:val="00033C70"/>
    <w:rsid w:val="000E57A2"/>
    <w:rsid w:val="001E2B3F"/>
    <w:rsid w:val="002227CC"/>
    <w:rsid w:val="00300BC8"/>
    <w:rsid w:val="003D0A2F"/>
    <w:rsid w:val="005C31E0"/>
    <w:rsid w:val="006B58D6"/>
    <w:rsid w:val="0077550C"/>
    <w:rsid w:val="00826EF6"/>
    <w:rsid w:val="00966F05"/>
    <w:rsid w:val="00A31177"/>
    <w:rsid w:val="00A507F9"/>
    <w:rsid w:val="00A73E6E"/>
    <w:rsid w:val="00A8589F"/>
    <w:rsid w:val="00A85C6F"/>
    <w:rsid w:val="00BD0A19"/>
    <w:rsid w:val="00C13A5E"/>
    <w:rsid w:val="00CB6B9E"/>
    <w:rsid w:val="00CC394E"/>
    <w:rsid w:val="00D15CAC"/>
    <w:rsid w:val="00D32F22"/>
    <w:rsid w:val="00EF2765"/>
    <w:rsid w:val="00F877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F5660"/>
  <w15:chartTrackingRefBased/>
  <w15:docId w15:val="{FFA02511-E7F7-41F6-B385-187CD4834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5C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15C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15CA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15CA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15CA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15C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5C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5C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5C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CA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5CA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5CA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5CA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5CA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5C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5C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5C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5CAC"/>
    <w:rPr>
      <w:rFonts w:eastAsiaTheme="majorEastAsia" w:cstheme="majorBidi"/>
      <w:color w:val="272727" w:themeColor="text1" w:themeTint="D8"/>
    </w:rPr>
  </w:style>
  <w:style w:type="paragraph" w:styleId="Title">
    <w:name w:val="Title"/>
    <w:basedOn w:val="Normal"/>
    <w:next w:val="Normal"/>
    <w:link w:val="TitleChar"/>
    <w:uiPriority w:val="10"/>
    <w:qFormat/>
    <w:rsid w:val="00D15C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5C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5C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5C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5CAC"/>
    <w:pPr>
      <w:spacing w:before="160"/>
      <w:jc w:val="center"/>
    </w:pPr>
    <w:rPr>
      <w:i/>
      <w:iCs/>
      <w:color w:val="404040" w:themeColor="text1" w:themeTint="BF"/>
    </w:rPr>
  </w:style>
  <w:style w:type="character" w:customStyle="1" w:styleId="QuoteChar">
    <w:name w:val="Quote Char"/>
    <w:basedOn w:val="DefaultParagraphFont"/>
    <w:link w:val="Quote"/>
    <w:uiPriority w:val="29"/>
    <w:rsid w:val="00D15CAC"/>
    <w:rPr>
      <w:i/>
      <w:iCs/>
      <w:color w:val="404040" w:themeColor="text1" w:themeTint="BF"/>
    </w:rPr>
  </w:style>
  <w:style w:type="paragraph" w:styleId="ListParagraph">
    <w:name w:val="List Paragraph"/>
    <w:basedOn w:val="Normal"/>
    <w:uiPriority w:val="34"/>
    <w:qFormat/>
    <w:rsid w:val="00D15CAC"/>
    <w:pPr>
      <w:ind w:left="720"/>
      <w:contextualSpacing/>
    </w:pPr>
  </w:style>
  <w:style w:type="character" w:styleId="IntenseEmphasis">
    <w:name w:val="Intense Emphasis"/>
    <w:basedOn w:val="DefaultParagraphFont"/>
    <w:uiPriority w:val="21"/>
    <w:qFormat/>
    <w:rsid w:val="00D15CAC"/>
    <w:rPr>
      <w:i/>
      <w:iCs/>
      <w:color w:val="2F5496" w:themeColor="accent1" w:themeShade="BF"/>
    </w:rPr>
  </w:style>
  <w:style w:type="paragraph" w:styleId="IntenseQuote">
    <w:name w:val="Intense Quote"/>
    <w:basedOn w:val="Normal"/>
    <w:next w:val="Normal"/>
    <w:link w:val="IntenseQuoteChar"/>
    <w:uiPriority w:val="30"/>
    <w:qFormat/>
    <w:rsid w:val="00D15C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15CAC"/>
    <w:rPr>
      <w:i/>
      <w:iCs/>
      <w:color w:val="2F5496" w:themeColor="accent1" w:themeShade="BF"/>
    </w:rPr>
  </w:style>
  <w:style w:type="character" w:styleId="IntenseReference">
    <w:name w:val="Intense Reference"/>
    <w:basedOn w:val="DefaultParagraphFont"/>
    <w:uiPriority w:val="32"/>
    <w:qFormat/>
    <w:rsid w:val="00D15CAC"/>
    <w:rPr>
      <w:b/>
      <w:bCs/>
      <w:smallCaps/>
      <w:color w:val="2F5496" w:themeColor="accent1" w:themeShade="BF"/>
      <w:spacing w:val="5"/>
    </w:rPr>
  </w:style>
  <w:style w:type="table" w:styleId="TableGrid">
    <w:name w:val="Table Grid"/>
    <w:basedOn w:val="TableNormal"/>
    <w:uiPriority w:val="39"/>
    <w:rsid w:val="00D15C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8437</Words>
  <Characters>4810</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Gavena</dc:creator>
  <cp:keywords/>
  <dc:description/>
  <cp:lastModifiedBy>Inga Gavena</cp:lastModifiedBy>
  <cp:revision>2</cp:revision>
  <dcterms:created xsi:type="dcterms:W3CDTF">2026-02-01T14:28:00Z</dcterms:created>
  <dcterms:modified xsi:type="dcterms:W3CDTF">2026-02-01T14:28:00Z</dcterms:modified>
</cp:coreProperties>
</file>