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55" w:rsidRPr="00E865B0" w:rsidRDefault="00E865B0" w:rsidP="00E865B0">
      <w:pPr>
        <w:jc w:val="right"/>
        <w:rPr>
          <w:rFonts w:ascii="Times New Roman" w:hAnsi="Times New Roman" w:cs="Times New Roman"/>
          <w:sz w:val="24"/>
          <w:szCs w:val="24"/>
        </w:rPr>
      </w:pPr>
      <w:r w:rsidRPr="00E865B0">
        <w:rPr>
          <w:rFonts w:ascii="Times New Roman" w:hAnsi="Times New Roman" w:cs="Times New Roman"/>
          <w:sz w:val="24"/>
          <w:szCs w:val="24"/>
        </w:rPr>
        <w:t>2.pielikums</w:t>
      </w:r>
    </w:p>
    <w:p w:rsidR="00E865B0" w:rsidRPr="00E865B0" w:rsidRDefault="00E865B0" w:rsidP="00E865B0">
      <w:pPr>
        <w:jc w:val="both"/>
        <w:rPr>
          <w:rFonts w:cstheme="minorHAnsi"/>
          <w:b/>
          <w:color w:val="0070C0"/>
          <w:sz w:val="28"/>
          <w:szCs w:val="28"/>
        </w:rPr>
      </w:pPr>
      <w:r w:rsidRPr="00E865B0">
        <w:rPr>
          <w:rFonts w:cstheme="minorHAnsi"/>
          <w:b/>
          <w:color w:val="0070C0"/>
          <w:sz w:val="28"/>
          <w:szCs w:val="28"/>
        </w:rPr>
        <w:t>Plānotie pasākumi citu esošo politiku ietvaros ar pozitīvu ietekmi uz jūras vidi</w:t>
      </w:r>
    </w:p>
    <w:p w:rsidR="006B7C56" w:rsidRPr="0078085B" w:rsidRDefault="006B7C56" w:rsidP="006B7C56">
      <w:pPr>
        <w:pStyle w:val="Mans"/>
        <w:rPr>
          <w:rFonts w:ascii="Times New Roman" w:hAnsi="Times New Roman" w:cs="Times New Roman"/>
          <w:sz w:val="24"/>
          <w:szCs w:val="24"/>
        </w:rPr>
      </w:pPr>
      <w:r w:rsidRPr="0078085B">
        <w:rPr>
          <w:rFonts w:ascii="Times New Roman" w:hAnsi="Times New Roman" w:cs="Times New Roman"/>
          <w:sz w:val="24"/>
          <w:szCs w:val="24"/>
        </w:rPr>
        <w:t>Jūras vides stāvokli ietekmē pasākumi, kas tiek īstenoti dažādu politiku ietvaros un dažādās tautsaimniecības nozarēs. Izstrādājot pasākumu programmu, ir jāņem vērā īstenošanā esošie un plānotie pasākumi, kas izriet no starptautiskajiem, ES un Latvijas politikas plānošanas dokumentiem un tiesību aktiem un kam būs pozitīva ietekme uz jūras vidi un to ietekmējošām antropogēnajām slodzēm līdz 2027. gadam. Jūras vides stāvokļa komponentēm un slodzēm, kur ir novērtēta neatbilstība labam jūras vides stāvoklim (LJVS), tika apkopota informācija par spēkā esošiem politikas ietvariem un to pasākumiem, kuri vēl ir ieviešanā, vai ir plānoti un kuri varētu nākotnē samazināt slodzes un uzlabot jūras vides stāvokli. Šādu pasākumu pozitīvais efekts ir ņemts vērā, novērtējot līdz 2027.gadam sagaidāmās slodžu izmaiņas esošo politiku pasākumu ieviešanas rezultātā, kas kalpoja par pamatu papildus pasākumu nepieciešamības novērtēšanai.</w:t>
      </w:r>
    </w:p>
    <w:p w:rsidR="006B7C56" w:rsidRPr="0078085B" w:rsidRDefault="006B7C56" w:rsidP="006B7C56">
      <w:pPr>
        <w:pStyle w:val="Mans"/>
        <w:rPr>
          <w:rFonts w:ascii="Times New Roman" w:hAnsi="Times New Roman" w:cs="Times New Roman"/>
          <w:sz w:val="24"/>
          <w:szCs w:val="24"/>
        </w:rPr>
      </w:pPr>
      <w:r w:rsidRPr="0078085B">
        <w:rPr>
          <w:rFonts w:ascii="Times New Roman" w:hAnsi="Times New Roman" w:cs="Times New Roman"/>
          <w:sz w:val="24"/>
          <w:szCs w:val="24"/>
        </w:rPr>
        <w:t xml:space="preserve">Tālāk tekstā sniegts šādu politikas ietvaru kopsavilkums. Pilns </w:t>
      </w:r>
      <w:proofErr w:type="spellStart"/>
      <w:r w:rsidRPr="0078085B">
        <w:rPr>
          <w:rFonts w:ascii="Times New Roman" w:hAnsi="Times New Roman" w:cs="Times New Roman"/>
          <w:sz w:val="24"/>
          <w:szCs w:val="24"/>
        </w:rPr>
        <w:t>izvērtējums</w:t>
      </w:r>
      <w:proofErr w:type="spellEnd"/>
      <w:r w:rsidRPr="0078085B">
        <w:rPr>
          <w:rFonts w:ascii="Times New Roman" w:hAnsi="Times New Roman" w:cs="Times New Roman"/>
          <w:sz w:val="24"/>
          <w:szCs w:val="24"/>
        </w:rPr>
        <w:t xml:space="preserve"> par sagaidāmo ietekmi uz jūras vides stāvokli no īstenošanā esošiem un plānotiem pasākumiem, kas izriet no šiem starptautiskajiem, ES un Latvijas politikas plānošanas dokumentiem un tiesību aktiem, sniegts projekta “Zināšanu uzlabošana jūras vides stāvokļa jomā” (projekta </w:t>
      </w:r>
      <w:r w:rsidRPr="0078085B">
        <w:rPr>
          <w:rFonts w:ascii="Times New Roman" w:hAnsi="Times New Roman" w:cs="Times New Roman"/>
          <w:iCs/>
          <w:sz w:val="24"/>
          <w:szCs w:val="24"/>
        </w:rPr>
        <w:t>Nr. 17-00-F06803-000001)</w:t>
      </w:r>
      <w:r w:rsidRPr="0078085B">
        <w:rPr>
          <w:rFonts w:ascii="Times New Roman" w:hAnsi="Times New Roman" w:cs="Times New Roman"/>
          <w:sz w:val="24"/>
          <w:szCs w:val="24"/>
        </w:rPr>
        <w:t>” kvalitatīvo raksturlielumu novērtējumu atskaitēs</w:t>
      </w:r>
      <w:r w:rsidRPr="0078085B">
        <w:rPr>
          <w:rStyle w:val="FootnoteReference"/>
          <w:rFonts w:ascii="Times New Roman" w:hAnsi="Times New Roman" w:cs="Times New Roman"/>
          <w:sz w:val="24"/>
          <w:szCs w:val="24"/>
        </w:rPr>
        <w:footnoteReference w:id="1"/>
      </w:r>
      <w:r w:rsidRPr="0078085B">
        <w:rPr>
          <w:rFonts w:ascii="Times New Roman" w:hAnsi="Times New Roman" w:cs="Times New Roman"/>
          <w:sz w:val="24"/>
          <w:szCs w:val="24"/>
        </w:rPr>
        <w:t>.</w:t>
      </w:r>
    </w:p>
    <w:p w:rsidR="006B7C56" w:rsidRPr="0078085B" w:rsidRDefault="006B7C56" w:rsidP="006B7C56">
      <w:pPr>
        <w:pStyle w:val="Mans"/>
        <w:rPr>
          <w:rFonts w:ascii="Times New Roman" w:hAnsi="Times New Roman" w:cs="Times New Roman"/>
          <w:sz w:val="24"/>
          <w:szCs w:val="24"/>
        </w:rPr>
      </w:pP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Bioloģiskās daudzveidības aizsardzība</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izriet no “ES Bioloģiskās daudzveidības stratēģijas 2030”</w:t>
      </w:r>
      <w:r w:rsidRPr="0078085B">
        <w:rPr>
          <w:rStyle w:val="FootnoteReference"/>
          <w:rFonts w:ascii="Times New Roman" w:hAnsi="Times New Roman" w:cs="Times New Roman"/>
          <w:sz w:val="24"/>
          <w:szCs w:val="24"/>
        </w:rPr>
        <w:footnoteReference w:id="2"/>
      </w:r>
      <w:r w:rsidRPr="0078085B">
        <w:rPr>
          <w:rFonts w:ascii="Times New Roman" w:hAnsi="Times New Roman" w:cs="Times New Roman"/>
          <w:sz w:val="24"/>
          <w:szCs w:val="24"/>
        </w:rPr>
        <w:t>.</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w:t>
      </w:r>
      <w:r w:rsidRPr="0078085B">
        <w:rPr>
          <w:rStyle w:val="FootnoteReference"/>
          <w:rFonts w:ascii="Times New Roman" w:hAnsi="Times New Roman" w:cs="Times New Roman"/>
          <w:sz w:val="24"/>
          <w:szCs w:val="24"/>
        </w:rPr>
        <w:footnoteReference w:id="3"/>
      </w:r>
      <w:r w:rsidRPr="0078085B">
        <w:rPr>
          <w:rFonts w:ascii="Times New Roman" w:hAnsi="Times New Roman" w:cs="Times New Roman"/>
          <w:sz w:val="24"/>
          <w:szCs w:val="24"/>
        </w:rPr>
        <w:t xml:space="preserve"> (rīcības bioloģiskās daudzveidības segmentā).</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ietverti “Vides politikas pamatnostādnēs 2021.-</w:t>
      </w:r>
      <w:proofErr w:type="gramStart"/>
      <w:r w:rsidRPr="0078085B">
        <w:rPr>
          <w:rFonts w:ascii="Times New Roman" w:hAnsi="Times New Roman" w:cs="Times New Roman"/>
          <w:sz w:val="24"/>
          <w:szCs w:val="24"/>
        </w:rPr>
        <w:t>2027.gadam</w:t>
      </w:r>
      <w:proofErr w:type="gramEnd"/>
      <w:r w:rsidRPr="0078085B">
        <w:rPr>
          <w:rFonts w:ascii="Times New Roman" w:hAnsi="Times New Roman" w:cs="Times New Roman"/>
          <w:sz w:val="24"/>
          <w:szCs w:val="24"/>
        </w:rPr>
        <w:t>” saistībā ar bioloģiskās daudzveidības aizsardzību (14.rīcības virzienā “</w:t>
      </w:r>
      <w:r w:rsidRPr="0078085B">
        <w:rPr>
          <w:rFonts w:ascii="Times New Roman" w:hAnsi="Times New Roman" w:cs="Times New Roman"/>
          <w:bCs/>
          <w:color w:val="000000"/>
          <w:sz w:val="24"/>
          <w:szCs w:val="24"/>
        </w:rPr>
        <w:t xml:space="preserve">Saglabāt sugu daudzveidību un nodrošināt biotopu labvēlīgas aizsardzības mērķu sasniegšanu”, 15.rīcības virzienā “Pilnveidot ES nozīmes aizsargājamo dabas teritoriju </w:t>
      </w:r>
      <w:proofErr w:type="spellStart"/>
      <w:r w:rsidRPr="0078085B">
        <w:rPr>
          <w:rFonts w:ascii="Times New Roman" w:hAnsi="Times New Roman" w:cs="Times New Roman"/>
          <w:bCs/>
          <w:color w:val="000000"/>
          <w:sz w:val="24"/>
          <w:szCs w:val="24"/>
        </w:rPr>
        <w:t>Natura</w:t>
      </w:r>
      <w:proofErr w:type="spellEnd"/>
      <w:r w:rsidRPr="0078085B">
        <w:rPr>
          <w:rFonts w:ascii="Times New Roman" w:hAnsi="Times New Roman" w:cs="Times New Roman"/>
          <w:bCs/>
          <w:color w:val="000000"/>
          <w:sz w:val="24"/>
          <w:szCs w:val="24"/>
        </w:rPr>
        <w:t xml:space="preserve"> 2000 tīklu, balstoties uz sugu un biotopu izplatības kartēšanā iegūtajiem datiem, kā arī ņemot vērā jaunāko zinātnisko pētījumu un monitoringa datus”, 16.rīcības virzienā “Aizsargājamo sugu dzīvotņu un biotopu atjaunošana un apsaimniekošana”, 17.rīcības virzienā “Bioloģiskās daudzveidības saglabāšanas pasākumu integrēšana tautsaimniecības nozarēs”, 21.rīcības virzienā “Bioloģiskās daudzveidības finansējuma nodrošināšana”, 32.rīcības virzienā “Aizsargājamo jūras teritoriju un to tīkla attīstība, tai skaitā Latvijas Ekskluzīvajā ekonomiskajā zonā”</w:t>
      </w:r>
      <w:r w:rsidRPr="0078085B">
        <w:rPr>
          <w:rFonts w:ascii="Times New Roman" w:hAnsi="Times New Roman" w:cs="Times New Roman"/>
          <w:sz w:val="24"/>
          <w:szCs w:val="24"/>
        </w:rPr>
        <w:t xml:space="preserve">). </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lastRenderedPageBreak/>
        <w:t xml:space="preserve">Pasākumi, kas ietverti “Prioritāro rīcību programmā </w:t>
      </w:r>
      <w:proofErr w:type="spellStart"/>
      <w:proofErr w:type="gramStart"/>
      <w:r w:rsidRPr="0078085B">
        <w:rPr>
          <w:rFonts w:ascii="Times New Roman" w:hAnsi="Times New Roman" w:cs="Times New Roman"/>
          <w:sz w:val="24"/>
          <w:szCs w:val="24"/>
        </w:rPr>
        <w:t>Natura</w:t>
      </w:r>
      <w:proofErr w:type="spellEnd"/>
      <w:proofErr w:type="gramEnd"/>
      <w:r w:rsidRPr="0078085B">
        <w:rPr>
          <w:rFonts w:ascii="Times New Roman" w:hAnsi="Times New Roman" w:cs="Times New Roman"/>
          <w:sz w:val="24"/>
          <w:szCs w:val="24"/>
        </w:rPr>
        <w:t xml:space="preserve"> 2000 tīklam Latvijā (2021–2027)”, tajā skaitā:</w:t>
      </w:r>
    </w:p>
    <w:p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noteikt jaunas Aizsargājamās jūras teritorijas (AJT) </w:t>
      </w:r>
      <w:proofErr w:type="spellStart"/>
      <w:r w:rsidRPr="0078085B">
        <w:rPr>
          <w:rFonts w:ascii="Times New Roman" w:hAnsi="Times New Roman" w:cs="Times New Roman"/>
          <w:sz w:val="24"/>
          <w:szCs w:val="24"/>
        </w:rPr>
        <w:t>bentisko</w:t>
      </w:r>
      <w:proofErr w:type="spellEnd"/>
      <w:r w:rsidRPr="0078085B">
        <w:rPr>
          <w:rFonts w:ascii="Times New Roman" w:hAnsi="Times New Roman" w:cs="Times New Roman"/>
          <w:sz w:val="24"/>
          <w:szCs w:val="24"/>
        </w:rPr>
        <w:t xml:space="preserve"> biotopu aizsardzībai Latvijas Ekskluzīvās ekonomiskās zonas (EEZ) ūdeņos un izstrādāt AJT apsaimniekošanas plānu;</w:t>
      </w:r>
    </w:p>
    <w:p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nodrošināt jūras biotopu monitoringu un regulāru jūras bioloģiskās daudzveidības monitoringu, tajā skaitā jūras </w:t>
      </w:r>
      <w:proofErr w:type="spellStart"/>
      <w:proofErr w:type="gramStart"/>
      <w:r w:rsidRPr="0078085B">
        <w:rPr>
          <w:rFonts w:ascii="Times New Roman" w:hAnsi="Times New Roman" w:cs="Times New Roman"/>
          <w:sz w:val="24"/>
          <w:szCs w:val="24"/>
        </w:rPr>
        <w:t>Natura</w:t>
      </w:r>
      <w:proofErr w:type="spellEnd"/>
      <w:proofErr w:type="gramEnd"/>
      <w:r w:rsidRPr="0078085B">
        <w:rPr>
          <w:rFonts w:ascii="Times New Roman" w:hAnsi="Times New Roman" w:cs="Times New Roman"/>
          <w:sz w:val="24"/>
          <w:szCs w:val="24"/>
        </w:rPr>
        <w:t xml:space="preserve"> 2000 teritorijās;</w:t>
      </w:r>
    </w:p>
    <w:p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veikt novērtējumu jūras </w:t>
      </w:r>
      <w:proofErr w:type="spellStart"/>
      <w:proofErr w:type="gramStart"/>
      <w:r w:rsidRPr="0078085B">
        <w:rPr>
          <w:rFonts w:ascii="Times New Roman" w:hAnsi="Times New Roman" w:cs="Times New Roman"/>
          <w:sz w:val="24"/>
          <w:szCs w:val="24"/>
        </w:rPr>
        <w:t>Natura</w:t>
      </w:r>
      <w:proofErr w:type="spellEnd"/>
      <w:proofErr w:type="gramEnd"/>
      <w:r w:rsidRPr="0078085B">
        <w:rPr>
          <w:rFonts w:ascii="Times New Roman" w:hAnsi="Times New Roman" w:cs="Times New Roman"/>
          <w:sz w:val="24"/>
          <w:szCs w:val="24"/>
        </w:rPr>
        <w:t xml:space="preserve"> 2000 tīkla efektivitātei Latvijas jūras ūdeņos;</w:t>
      </w:r>
    </w:p>
    <w:p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 xml:space="preserve">veikt vēja parku ietekmes uz migrējošiem putniem novērtēšanu; </w:t>
      </w:r>
    </w:p>
    <w:p w:rsidR="006B7C56" w:rsidRPr="0078085B" w:rsidRDefault="006B7C56" w:rsidP="006B7C56">
      <w:pPr>
        <w:pStyle w:val="Mans"/>
        <w:numPr>
          <w:ilvl w:val="1"/>
          <w:numId w:val="3"/>
        </w:numPr>
        <w:rPr>
          <w:rFonts w:ascii="Times New Roman" w:hAnsi="Times New Roman" w:cs="Times New Roman"/>
          <w:sz w:val="24"/>
          <w:szCs w:val="24"/>
        </w:rPr>
      </w:pPr>
      <w:r w:rsidRPr="0078085B">
        <w:rPr>
          <w:rFonts w:ascii="Times New Roman" w:hAnsi="Times New Roman" w:cs="Times New Roman"/>
          <w:sz w:val="24"/>
          <w:szCs w:val="24"/>
        </w:rPr>
        <w:t>veikt izpēti par jūras putniem nozīmīgām barošanās, vairošanās un migrācijas vietām un biotopiem.</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 xml:space="preserve">Pilotprojekts trīs piekrastes Īpaši aizsargājamās dabas teritorijās (ĪADT) atpūtnieku piekļuves ierobežošanai piekrastē ligzdojošiem putniem nozīmīgās vietās un periodā: </w:t>
      </w:r>
      <w:proofErr w:type="gramStart"/>
      <w:r w:rsidRPr="0078085B">
        <w:rPr>
          <w:rFonts w:ascii="Times New Roman" w:hAnsi="Times New Roman" w:cs="Times New Roman"/>
          <w:sz w:val="24"/>
          <w:szCs w:val="24"/>
        </w:rPr>
        <w:t>2022.gadā</w:t>
      </w:r>
      <w:proofErr w:type="gramEnd"/>
      <w:r w:rsidRPr="0078085B">
        <w:rPr>
          <w:rFonts w:ascii="Times New Roman" w:hAnsi="Times New Roman" w:cs="Times New Roman"/>
          <w:sz w:val="24"/>
          <w:szCs w:val="24"/>
        </w:rPr>
        <w:t xml:space="preserve"> un turpmākos gados no 1.aprīļa līdz 1.augustam dabas liegumā “</w:t>
      </w:r>
      <w:proofErr w:type="spellStart"/>
      <w:r w:rsidRPr="0078085B">
        <w:rPr>
          <w:rFonts w:ascii="Times New Roman" w:hAnsi="Times New Roman" w:cs="Times New Roman"/>
          <w:sz w:val="24"/>
          <w:szCs w:val="24"/>
        </w:rPr>
        <w:t>Ovīši</w:t>
      </w:r>
      <w:proofErr w:type="spellEnd"/>
      <w:r w:rsidRPr="0078085B">
        <w:rPr>
          <w:rFonts w:ascii="Times New Roman" w:hAnsi="Times New Roman" w:cs="Times New Roman"/>
          <w:sz w:val="24"/>
          <w:szCs w:val="24"/>
        </w:rPr>
        <w:t>” (Irbes grīvā) un Slīteres nacionālajā parkā (</w:t>
      </w:r>
      <w:proofErr w:type="spellStart"/>
      <w:r w:rsidRPr="0078085B">
        <w:rPr>
          <w:rFonts w:ascii="Times New Roman" w:hAnsi="Times New Roman" w:cs="Times New Roman"/>
          <w:sz w:val="24"/>
          <w:szCs w:val="24"/>
        </w:rPr>
        <w:t>Ķikana</w:t>
      </w:r>
      <w:proofErr w:type="spellEnd"/>
      <w:r w:rsidRPr="0078085B">
        <w:rPr>
          <w:rFonts w:ascii="Times New Roman" w:hAnsi="Times New Roman" w:cs="Times New Roman"/>
          <w:sz w:val="24"/>
          <w:szCs w:val="24"/>
        </w:rPr>
        <w:t xml:space="preserve"> grīvā) un no 1.maija līdz 1.augustam Dabas parkā “Piejūra” (Gaujas grīvā) ir izveidotas norobežotas teritorijas, kur ir liegta cilvēku un suņu pārvietošanās, lai  netraucētu putnu ligzdošanu. Pasākuma īstenošanai plānots darbs ierobežojumu ievērošanas kontrolei un nepieciešamības skaidrošanai pasākuma īstenošanas vietās. Katru gadu tiks veikts piekrastes ligzdojošo putnu monitorings, lai vērtētu šī pasākuma efektivitāti. </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Pasākumi, kas ietverti “Pogainā roņa (</w:t>
      </w:r>
      <w:proofErr w:type="spellStart"/>
      <w:r w:rsidRPr="0078085B">
        <w:rPr>
          <w:rFonts w:ascii="Times New Roman" w:hAnsi="Times New Roman" w:cs="Times New Roman"/>
          <w:i/>
          <w:iCs/>
          <w:sz w:val="24"/>
          <w:szCs w:val="24"/>
        </w:rPr>
        <w:t>Phoca</w:t>
      </w:r>
      <w:proofErr w:type="spellEnd"/>
      <w:r w:rsidRPr="0078085B">
        <w:rPr>
          <w:rFonts w:ascii="Times New Roman" w:hAnsi="Times New Roman" w:cs="Times New Roman"/>
          <w:i/>
          <w:iCs/>
          <w:sz w:val="24"/>
          <w:szCs w:val="24"/>
        </w:rPr>
        <w:t xml:space="preserve"> </w:t>
      </w:r>
      <w:proofErr w:type="spellStart"/>
      <w:r w:rsidRPr="0078085B">
        <w:rPr>
          <w:rFonts w:ascii="Times New Roman" w:hAnsi="Times New Roman" w:cs="Times New Roman"/>
          <w:i/>
          <w:iCs/>
          <w:sz w:val="24"/>
          <w:szCs w:val="24"/>
        </w:rPr>
        <w:t>hispida</w:t>
      </w:r>
      <w:proofErr w:type="spellEnd"/>
      <w:r w:rsidRPr="0078085B">
        <w:rPr>
          <w:rFonts w:ascii="Times New Roman" w:hAnsi="Times New Roman" w:cs="Times New Roman"/>
          <w:sz w:val="24"/>
          <w:szCs w:val="24"/>
        </w:rPr>
        <w:t>), pelēkā roņa (</w:t>
      </w:r>
      <w:proofErr w:type="spellStart"/>
      <w:r w:rsidRPr="0078085B">
        <w:rPr>
          <w:rFonts w:ascii="Times New Roman" w:hAnsi="Times New Roman" w:cs="Times New Roman"/>
          <w:i/>
          <w:iCs/>
          <w:sz w:val="24"/>
          <w:szCs w:val="24"/>
        </w:rPr>
        <w:t>Halichoerus</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i/>
          <w:iCs/>
          <w:sz w:val="24"/>
          <w:szCs w:val="24"/>
        </w:rPr>
        <w:t>grypus</w:t>
      </w:r>
      <w:proofErr w:type="spellEnd"/>
      <w:r w:rsidRPr="0078085B">
        <w:rPr>
          <w:rFonts w:ascii="Times New Roman" w:hAnsi="Times New Roman" w:cs="Times New Roman"/>
          <w:sz w:val="24"/>
          <w:szCs w:val="24"/>
        </w:rPr>
        <w:t>) un plankumainā roņa (</w:t>
      </w:r>
      <w:proofErr w:type="spellStart"/>
      <w:r w:rsidRPr="0078085B">
        <w:rPr>
          <w:rFonts w:ascii="Times New Roman" w:hAnsi="Times New Roman" w:cs="Times New Roman"/>
          <w:i/>
          <w:iCs/>
          <w:sz w:val="24"/>
          <w:szCs w:val="24"/>
        </w:rPr>
        <w:t>Pusa</w:t>
      </w:r>
      <w:proofErr w:type="spellEnd"/>
      <w:r w:rsidRPr="0078085B">
        <w:rPr>
          <w:rFonts w:ascii="Times New Roman" w:hAnsi="Times New Roman" w:cs="Times New Roman"/>
          <w:i/>
          <w:iCs/>
          <w:sz w:val="24"/>
          <w:szCs w:val="24"/>
        </w:rPr>
        <w:t xml:space="preserve"> </w:t>
      </w:r>
      <w:proofErr w:type="spellStart"/>
      <w:r w:rsidRPr="0078085B">
        <w:rPr>
          <w:rFonts w:ascii="Times New Roman" w:hAnsi="Times New Roman" w:cs="Times New Roman"/>
          <w:i/>
          <w:iCs/>
          <w:sz w:val="24"/>
          <w:szCs w:val="24"/>
        </w:rPr>
        <w:t>vitulina</w:t>
      </w:r>
      <w:proofErr w:type="spellEnd"/>
      <w:r w:rsidRPr="0078085B">
        <w:rPr>
          <w:rFonts w:ascii="Times New Roman" w:hAnsi="Times New Roman" w:cs="Times New Roman"/>
          <w:sz w:val="24"/>
          <w:szCs w:val="24"/>
        </w:rPr>
        <w:t>) apsaimniekošanas (aizsardzības) plānā” 2021.-</w:t>
      </w:r>
      <w:proofErr w:type="gramStart"/>
      <w:r w:rsidRPr="0078085B">
        <w:rPr>
          <w:rFonts w:ascii="Times New Roman" w:hAnsi="Times New Roman" w:cs="Times New Roman"/>
          <w:sz w:val="24"/>
          <w:szCs w:val="24"/>
        </w:rPr>
        <w:t>2031.gadam</w:t>
      </w:r>
      <w:proofErr w:type="gramEnd"/>
      <w:r w:rsidRPr="0078085B">
        <w:rPr>
          <w:rFonts w:ascii="Times New Roman" w:hAnsi="Times New Roman" w:cs="Times New Roman"/>
          <w:sz w:val="24"/>
          <w:szCs w:val="24"/>
        </w:rPr>
        <w:t xml:space="preserve"> (VARAM Rīkojums Nr. 1-2/33 (18.02.2021.) Par sugas aizsardzības plāna apstiprināšanu).</w:t>
      </w:r>
    </w:p>
    <w:p w:rsidR="006B7C56" w:rsidRPr="0078085B" w:rsidRDefault="006B7C56" w:rsidP="006B7C56">
      <w:pPr>
        <w:pStyle w:val="Mans"/>
        <w:numPr>
          <w:ilvl w:val="0"/>
          <w:numId w:val="3"/>
        </w:numPr>
        <w:rPr>
          <w:rFonts w:ascii="Times New Roman" w:hAnsi="Times New Roman" w:cs="Times New Roman"/>
          <w:sz w:val="24"/>
          <w:szCs w:val="24"/>
        </w:rPr>
      </w:pPr>
      <w:r w:rsidRPr="0078085B">
        <w:rPr>
          <w:rFonts w:ascii="Times New Roman" w:hAnsi="Times New Roman" w:cs="Times New Roman"/>
          <w:sz w:val="24"/>
          <w:szCs w:val="24"/>
        </w:rPr>
        <w:t xml:space="preserve">Ministru kabineta </w:t>
      </w:r>
      <w:proofErr w:type="gramStart"/>
      <w:r w:rsidRPr="0078085B">
        <w:rPr>
          <w:rFonts w:ascii="Times New Roman" w:hAnsi="Times New Roman" w:cs="Times New Roman"/>
          <w:sz w:val="24"/>
          <w:szCs w:val="24"/>
        </w:rPr>
        <w:t>2019.gada</w:t>
      </w:r>
      <w:proofErr w:type="gramEnd"/>
      <w:r w:rsidRPr="0078085B">
        <w:rPr>
          <w:rFonts w:ascii="Times New Roman" w:hAnsi="Times New Roman" w:cs="Times New Roman"/>
          <w:sz w:val="24"/>
          <w:szCs w:val="24"/>
        </w:rPr>
        <w:t xml:space="preserve"> 21.maija rīkojums Nr. 232 “JŪRAS PLĀNOJUMS 2030. Jūras plānojums Latvijas Republikas iekšējiem jūras ūdeņiem, teritoriālajai jūrai un ekskluzīvās ekonomiskās zonas ūdeņiem”, kas izstrādāts atbilstoši Eiropas Parlamenta un Padomes Direktīvai 2014/89/ES (</w:t>
      </w:r>
      <w:proofErr w:type="gramStart"/>
      <w:r w:rsidRPr="0078085B">
        <w:rPr>
          <w:rFonts w:ascii="Times New Roman" w:hAnsi="Times New Roman" w:cs="Times New Roman"/>
          <w:sz w:val="24"/>
          <w:szCs w:val="24"/>
        </w:rPr>
        <w:t>2014.gada</w:t>
      </w:r>
      <w:proofErr w:type="gramEnd"/>
      <w:r w:rsidRPr="0078085B">
        <w:rPr>
          <w:rFonts w:ascii="Times New Roman" w:hAnsi="Times New Roman" w:cs="Times New Roman"/>
          <w:sz w:val="24"/>
          <w:szCs w:val="24"/>
        </w:rPr>
        <w:t xml:space="preserve"> 23.jūlijs), ar ko izveido jūras telpiskās plānošanas ietvaru.</w:t>
      </w: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 xml:space="preserve">Zivju </w:t>
      </w:r>
      <w:proofErr w:type="spellStart"/>
      <w:r w:rsidRPr="0078085B">
        <w:rPr>
          <w:rFonts w:ascii="Times New Roman" w:hAnsi="Times New Roman" w:cs="Times New Roman"/>
          <w:b/>
          <w:sz w:val="24"/>
          <w:szCs w:val="24"/>
        </w:rPr>
        <w:t>pārzveja</w:t>
      </w:r>
      <w:proofErr w:type="spellEnd"/>
      <w:r w:rsidRPr="0078085B">
        <w:rPr>
          <w:rFonts w:ascii="Times New Roman" w:hAnsi="Times New Roman" w:cs="Times New Roman"/>
          <w:b/>
          <w:sz w:val="24"/>
          <w:szCs w:val="24"/>
        </w:rPr>
        <w:t>, roņu un putnu piezveja</w:t>
      </w:r>
    </w:p>
    <w:p w:rsidR="006B7C56" w:rsidRPr="0078085B" w:rsidRDefault="006B7C56" w:rsidP="006B7C56">
      <w:pPr>
        <w:pStyle w:val="Mans"/>
        <w:numPr>
          <w:ilvl w:val="0"/>
          <w:numId w:val="2"/>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bCs/>
          <w:sz w:val="24"/>
          <w:szCs w:val="24"/>
        </w:rPr>
        <w:t xml:space="preserve">ES Regulas 2019/1241 (20.06.2019) </w:t>
      </w:r>
      <w:r w:rsidRPr="0078085B">
        <w:rPr>
          <w:rFonts w:ascii="Times New Roman" w:hAnsi="Times New Roman" w:cs="Times New Roman"/>
          <w:iCs/>
          <w:sz w:val="24"/>
          <w:szCs w:val="24"/>
        </w:rPr>
        <w:t>par zvejas resursu saglabāšanu un jūras ekosistēmu aizsardzību ar tehniskiem pasākumiem</w:t>
      </w:r>
      <w:r w:rsidRPr="0078085B">
        <w:rPr>
          <w:rStyle w:val="FootnoteReference"/>
          <w:rFonts w:ascii="Times New Roman" w:hAnsi="Times New Roman" w:cs="Times New Roman"/>
          <w:iCs/>
          <w:sz w:val="24"/>
          <w:szCs w:val="24"/>
        </w:rPr>
        <w:footnoteReference w:id="4"/>
      </w:r>
      <w:r w:rsidRPr="0078085B">
        <w:rPr>
          <w:rFonts w:ascii="Times New Roman" w:hAnsi="Times New Roman" w:cs="Times New Roman"/>
          <w:iCs/>
          <w:sz w:val="24"/>
          <w:szCs w:val="24"/>
        </w:rPr>
        <w:t xml:space="preserve">. Regula </w:t>
      </w:r>
      <w:r w:rsidRPr="0078085B">
        <w:rPr>
          <w:rFonts w:ascii="Times New Roman" w:hAnsi="Times New Roman" w:cs="Times New Roman"/>
          <w:sz w:val="24"/>
          <w:szCs w:val="24"/>
        </w:rPr>
        <w:t>nosaka tehniskus pasākumus un ierobežojumus, lai palīdzētu īstenot kopējās zivsaimniecības politikas mērķus, piemēram, zvejot maksimālajā ilgtspējīgas ieguves apjomā, samazināt nevēlamas nozvejas, novērst piezveju (gan putnu, gan jūras zīdītāju), sasniegt labu vides stāvokli, veicināt jūras sugu mazuļu un nārsta baru aizsardzību, izmantojot selektīvus zvejas rīkus un pasākumus.</w:t>
      </w:r>
    </w:p>
    <w:p w:rsidR="006B7C56" w:rsidRPr="0078085B" w:rsidRDefault="006B7C56" w:rsidP="006B7C56">
      <w:pPr>
        <w:pStyle w:val="Mans"/>
        <w:numPr>
          <w:ilvl w:val="0"/>
          <w:numId w:val="2"/>
        </w:numPr>
        <w:rPr>
          <w:rFonts w:ascii="Times New Roman" w:hAnsi="Times New Roman" w:cs="Times New Roman"/>
          <w:sz w:val="24"/>
          <w:szCs w:val="24"/>
        </w:rPr>
      </w:pPr>
      <w:r w:rsidRPr="0078085B">
        <w:rPr>
          <w:rFonts w:ascii="Times New Roman" w:hAnsi="Times New Roman" w:cs="Times New Roman"/>
          <w:sz w:val="24"/>
          <w:szCs w:val="24"/>
        </w:rPr>
        <w:t xml:space="preserve">Pasākumi, kas ietverti “Prioritāro rīcību programmā </w:t>
      </w:r>
      <w:proofErr w:type="spellStart"/>
      <w:proofErr w:type="gramStart"/>
      <w:r w:rsidRPr="0078085B">
        <w:rPr>
          <w:rFonts w:ascii="Times New Roman" w:hAnsi="Times New Roman" w:cs="Times New Roman"/>
          <w:sz w:val="24"/>
          <w:szCs w:val="24"/>
        </w:rPr>
        <w:t>Natura</w:t>
      </w:r>
      <w:proofErr w:type="spellEnd"/>
      <w:proofErr w:type="gramEnd"/>
      <w:r w:rsidRPr="0078085B">
        <w:rPr>
          <w:rFonts w:ascii="Times New Roman" w:hAnsi="Times New Roman" w:cs="Times New Roman"/>
          <w:sz w:val="24"/>
          <w:szCs w:val="24"/>
        </w:rPr>
        <w:t xml:space="preserve"> 2000 tīklam Latvijā (2021–2027)”: īstenot roņu un jūras putnu piezvejas monitoringu, izstrādāt pasākumus roņu un putnu pie</w:t>
      </w:r>
      <w:r w:rsidRPr="0078085B">
        <w:rPr>
          <w:rFonts w:ascii="Times New Roman" w:hAnsi="Times New Roman" w:cs="Times New Roman"/>
          <w:bCs/>
          <w:sz w:val="24"/>
          <w:szCs w:val="24"/>
        </w:rPr>
        <w:t>zvejas samazināšanai piekrastes zvejniecībā.</w:t>
      </w: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Svešo sugu ieviešanās un negatīvā ietekme</w:t>
      </w:r>
    </w:p>
    <w:p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 xml:space="preserve">Pasākumi, kas izriet no </w:t>
      </w:r>
      <w:proofErr w:type="gramStart"/>
      <w:r w:rsidRPr="0078085B">
        <w:rPr>
          <w:rFonts w:ascii="Times New Roman" w:hAnsi="Times New Roman"/>
          <w:sz w:val="24"/>
          <w:lang w:val="lv-LV"/>
        </w:rPr>
        <w:t>2004.gada</w:t>
      </w:r>
      <w:proofErr w:type="gramEnd"/>
      <w:r w:rsidRPr="0078085B">
        <w:rPr>
          <w:rFonts w:ascii="Times New Roman" w:hAnsi="Times New Roman"/>
          <w:sz w:val="24"/>
          <w:lang w:val="lv-LV"/>
        </w:rPr>
        <w:t xml:space="preserve"> Starptautiskās konvencijas par kuģu balasta ūdens un nosēdumu kontroli un pārvaldību (Latvijā pieņemta ar likumu “Par 2004.gada Starptautisko konvenciju par kuģu balasta ūdens un nosēdumu kontroli un pārvaldību” (pieņemts 20.06.2018.)).</w:t>
      </w:r>
    </w:p>
    <w:p w:rsidR="006B7C56" w:rsidRPr="0078085B" w:rsidRDefault="006B7C56" w:rsidP="006B7C56">
      <w:pPr>
        <w:pStyle w:val="Mans"/>
        <w:numPr>
          <w:ilvl w:val="0"/>
          <w:numId w:val="1"/>
        </w:numPr>
        <w:rPr>
          <w:rFonts w:ascii="Times New Roman" w:hAnsi="Times New Roman" w:cs="Times New Roman"/>
          <w:color w:val="000000"/>
          <w:sz w:val="24"/>
          <w:szCs w:val="24"/>
        </w:rPr>
      </w:pPr>
      <w:r w:rsidRPr="0078085B">
        <w:rPr>
          <w:rFonts w:ascii="Times New Roman" w:hAnsi="Times New Roman" w:cs="Times New Roman"/>
          <w:sz w:val="24"/>
          <w:szCs w:val="24"/>
        </w:rPr>
        <w:t>“Vides politikas pamatnostādņu 2021.-</w:t>
      </w:r>
      <w:proofErr w:type="gramStart"/>
      <w:r w:rsidRPr="0078085B">
        <w:rPr>
          <w:rFonts w:ascii="Times New Roman" w:hAnsi="Times New Roman" w:cs="Times New Roman"/>
          <w:sz w:val="24"/>
          <w:szCs w:val="24"/>
        </w:rPr>
        <w:t>2027.gadam</w:t>
      </w:r>
      <w:proofErr w:type="gramEnd"/>
      <w:r w:rsidRPr="0078085B">
        <w:rPr>
          <w:rFonts w:ascii="Times New Roman" w:hAnsi="Times New Roman" w:cs="Times New Roman"/>
          <w:sz w:val="24"/>
          <w:szCs w:val="24"/>
        </w:rPr>
        <w:t>” pasākumi saistībā ar k</w:t>
      </w:r>
      <w:r w:rsidRPr="0078085B">
        <w:rPr>
          <w:rFonts w:ascii="Times New Roman" w:hAnsi="Times New Roman" w:cs="Times New Roman"/>
          <w:bCs/>
          <w:color w:val="000000"/>
          <w:sz w:val="24"/>
          <w:szCs w:val="24"/>
        </w:rPr>
        <w:t>uģu balasta ūdens un nosēdumu (kaitīgo ūdens organismu un patogēno mikroorganismu) apdraudējuma jūras ekosistēmai novēršanu (35.rīcības virzienā): 35.1.</w:t>
      </w:r>
      <w:r w:rsidRPr="0078085B">
        <w:rPr>
          <w:rFonts w:ascii="Times New Roman" w:hAnsi="Times New Roman" w:cs="Times New Roman"/>
          <w:b/>
          <w:bCs/>
          <w:color w:val="000000"/>
          <w:sz w:val="24"/>
          <w:szCs w:val="24"/>
        </w:rPr>
        <w:t xml:space="preserve"> </w:t>
      </w:r>
      <w:r w:rsidRPr="0078085B">
        <w:rPr>
          <w:rFonts w:ascii="Times New Roman" w:hAnsi="Times New Roman" w:cs="Times New Roman"/>
          <w:color w:val="000000"/>
          <w:sz w:val="24"/>
          <w:szCs w:val="24"/>
        </w:rPr>
        <w:t>Īstenot kuģu balasta ūdens un nosēdumu pārvaldības monitoringu (arī vides kontroles ietvaros), t.sk. svešo sugu monitoringu ostās un jūras ūdeņos; 35.3. Nodrošināt atbilstošas balasta ūdens nosēdumu pieņemšanas iekārtas ostās (kur nepieciešams/ kur notiek kuģu remonts, tilpņu labošana, tīrīšana).</w:t>
      </w:r>
    </w:p>
    <w:p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Pasākumi, kas izriet no Eiropas Parlamenta un Padomes Regulas (ES) Nr. 1143/2014 (</w:t>
      </w:r>
      <w:proofErr w:type="gramStart"/>
      <w:r w:rsidRPr="0078085B">
        <w:rPr>
          <w:rFonts w:ascii="Times New Roman" w:hAnsi="Times New Roman"/>
          <w:sz w:val="24"/>
          <w:lang w:val="lv-LV"/>
        </w:rPr>
        <w:t>2014.gada</w:t>
      </w:r>
      <w:proofErr w:type="gramEnd"/>
      <w:r w:rsidRPr="0078085B">
        <w:rPr>
          <w:rFonts w:ascii="Times New Roman" w:hAnsi="Times New Roman"/>
          <w:sz w:val="24"/>
          <w:lang w:val="lv-LV"/>
        </w:rPr>
        <w:t xml:space="preserve"> 22.oktobris) par </w:t>
      </w:r>
      <w:proofErr w:type="spellStart"/>
      <w:r w:rsidRPr="0078085B">
        <w:rPr>
          <w:rFonts w:ascii="Times New Roman" w:hAnsi="Times New Roman"/>
          <w:sz w:val="24"/>
          <w:lang w:val="lv-LV"/>
        </w:rPr>
        <w:t>invazīvu</w:t>
      </w:r>
      <w:proofErr w:type="spellEnd"/>
      <w:r w:rsidRPr="0078085B">
        <w:rPr>
          <w:rFonts w:ascii="Times New Roman" w:hAnsi="Times New Roman"/>
          <w:sz w:val="24"/>
          <w:lang w:val="lv-LV"/>
        </w:rPr>
        <w:t xml:space="preserve"> svešzemju sugu (ISS) introdukcijas un izplatīšanās profilaksi un pārvaldību.</w:t>
      </w:r>
    </w:p>
    <w:p w:rsidR="006B7C56" w:rsidRPr="0078085B" w:rsidRDefault="006B7C56" w:rsidP="006B7C56">
      <w:pPr>
        <w:pStyle w:val="mans1"/>
        <w:numPr>
          <w:ilvl w:val="0"/>
          <w:numId w:val="1"/>
        </w:numPr>
        <w:rPr>
          <w:rFonts w:ascii="Times New Roman" w:hAnsi="Times New Roman"/>
          <w:sz w:val="24"/>
          <w:lang w:val="lv-LV"/>
        </w:rPr>
      </w:pPr>
      <w:r w:rsidRPr="0078085B">
        <w:rPr>
          <w:rFonts w:ascii="Times New Roman" w:hAnsi="Times New Roman"/>
          <w:sz w:val="24"/>
          <w:lang w:val="lv-LV"/>
        </w:rPr>
        <w:t xml:space="preserve">Pasākumi, kas ietverti “Prioritāro rīcību programmā </w:t>
      </w:r>
      <w:proofErr w:type="spellStart"/>
      <w:proofErr w:type="gramStart"/>
      <w:r w:rsidRPr="0078085B">
        <w:rPr>
          <w:rFonts w:ascii="Times New Roman" w:hAnsi="Times New Roman"/>
          <w:sz w:val="24"/>
          <w:lang w:val="lv-LV"/>
        </w:rPr>
        <w:t>Natura</w:t>
      </w:r>
      <w:proofErr w:type="spellEnd"/>
      <w:proofErr w:type="gramEnd"/>
      <w:r w:rsidRPr="0078085B">
        <w:rPr>
          <w:rFonts w:ascii="Times New Roman" w:hAnsi="Times New Roman"/>
          <w:sz w:val="24"/>
          <w:lang w:val="lv-LV"/>
        </w:rPr>
        <w:t xml:space="preserve"> 2000 tīklam Latvijā (2021–2027)”: Izpēte par ISS ietekmi uz ekosistēmām, dzīvotnēm, sugām, to izplatības ceļiem un labākajām ierobežošanas metodēm; rīcības plāna izstrāde j</w:t>
      </w:r>
      <w:r w:rsidRPr="0078085B">
        <w:rPr>
          <w:rFonts w:ascii="Times New Roman" w:hAnsi="Times New Roman"/>
          <w:bCs/>
          <w:sz w:val="24"/>
          <w:lang w:val="lv-LV"/>
        </w:rPr>
        <w:t>ūras ISS pārvaldībai attiecībā uz</w:t>
      </w:r>
      <w:r w:rsidRPr="0078085B">
        <w:rPr>
          <w:rFonts w:ascii="Times New Roman" w:hAnsi="Times New Roman"/>
          <w:sz w:val="24"/>
          <w:lang w:val="lv-LV"/>
        </w:rPr>
        <w:t xml:space="preserve"> apaļo </w:t>
      </w:r>
      <w:proofErr w:type="spellStart"/>
      <w:r w:rsidRPr="0078085B">
        <w:rPr>
          <w:rFonts w:ascii="Times New Roman" w:hAnsi="Times New Roman"/>
          <w:sz w:val="24"/>
          <w:lang w:val="lv-LV"/>
        </w:rPr>
        <w:t>jūrasgrunduli</w:t>
      </w:r>
      <w:proofErr w:type="spellEnd"/>
      <w:r w:rsidRPr="0078085B">
        <w:rPr>
          <w:rFonts w:ascii="Times New Roman" w:hAnsi="Times New Roman"/>
          <w:sz w:val="24"/>
          <w:lang w:val="lv-LV"/>
        </w:rPr>
        <w:t xml:space="preserve"> </w:t>
      </w:r>
      <w:proofErr w:type="spellStart"/>
      <w:r w:rsidRPr="0078085B">
        <w:rPr>
          <w:rStyle w:val="Emphasis"/>
          <w:rFonts w:ascii="Times New Roman" w:hAnsi="Times New Roman"/>
          <w:sz w:val="24"/>
          <w:lang w:val="lv-LV"/>
        </w:rPr>
        <w:t>Neogobius</w:t>
      </w:r>
      <w:proofErr w:type="spellEnd"/>
      <w:r w:rsidRPr="0078085B">
        <w:rPr>
          <w:rStyle w:val="Emphasis"/>
          <w:rFonts w:ascii="Times New Roman" w:hAnsi="Times New Roman"/>
          <w:sz w:val="24"/>
          <w:lang w:val="lv-LV"/>
        </w:rPr>
        <w:t xml:space="preserve"> </w:t>
      </w:r>
      <w:proofErr w:type="spellStart"/>
      <w:r w:rsidRPr="0078085B">
        <w:rPr>
          <w:rStyle w:val="Emphasis"/>
          <w:rFonts w:ascii="Times New Roman" w:hAnsi="Times New Roman"/>
          <w:sz w:val="24"/>
          <w:lang w:val="lv-LV"/>
        </w:rPr>
        <w:t>melanostomus</w:t>
      </w:r>
      <w:proofErr w:type="spellEnd"/>
      <w:r w:rsidRPr="0078085B">
        <w:rPr>
          <w:rFonts w:ascii="Times New Roman" w:hAnsi="Times New Roman"/>
          <w:sz w:val="24"/>
          <w:lang w:val="lv-LV"/>
        </w:rPr>
        <w:t xml:space="preserve"> un Ķīnas </w:t>
      </w:r>
      <w:proofErr w:type="spellStart"/>
      <w:r w:rsidRPr="0078085B">
        <w:rPr>
          <w:rFonts w:ascii="Times New Roman" w:hAnsi="Times New Roman"/>
          <w:sz w:val="24"/>
          <w:lang w:val="lv-LV"/>
        </w:rPr>
        <w:t>cimdiņkrabi</w:t>
      </w:r>
      <w:proofErr w:type="spellEnd"/>
      <w:r w:rsidRPr="0078085B">
        <w:rPr>
          <w:rFonts w:ascii="Times New Roman" w:hAnsi="Times New Roman"/>
          <w:sz w:val="24"/>
          <w:lang w:val="lv-LV"/>
        </w:rPr>
        <w:t xml:space="preserve"> </w:t>
      </w:r>
      <w:proofErr w:type="spellStart"/>
      <w:r w:rsidRPr="0078085B">
        <w:rPr>
          <w:rStyle w:val="Emphasis"/>
          <w:rFonts w:ascii="Times New Roman" w:hAnsi="Times New Roman"/>
          <w:sz w:val="24"/>
          <w:lang w:val="lv-LV"/>
        </w:rPr>
        <w:t>Eriocheir</w:t>
      </w:r>
      <w:proofErr w:type="spellEnd"/>
      <w:r w:rsidRPr="0078085B">
        <w:rPr>
          <w:rStyle w:val="Emphasis"/>
          <w:rFonts w:ascii="Times New Roman" w:hAnsi="Times New Roman"/>
          <w:sz w:val="24"/>
          <w:lang w:val="lv-LV"/>
        </w:rPr>
        <w:t xml:space="preserve"> </w:t>
      </w:r>
      <w:proofErr w:type="spellStart"/>
      <w:r w:rsidRPr="0078085B">
        <w:rPr>
          <w:rStyle w:val="Emphasis"/>
          <w:rFonts w:ascii="Times New Roman" w:hAnsi="Times New Roman"/>
          <w:sz w:val="24"/>
          <w:lang w:val="lv-LV"/>
        </w:rPr>
        <w:t>sinensis</w:t>
      </w:r>
      <w:proofErr w:type="spellEnd"/>
      <w:r w:rsidRPr="0078085B">
        <w:rPr>
          <w:rFonts w:ascii="Times New Roman" w:hAnsi="Times New Roman"/>
          <w:sz w:val="24"/>
          <w:lang w:val="lv-LV"/>
        </w:rPr>
        <w:t>.</w:t>
      </w:r>
    </w:p>
    <w:p w:rsidR="006B7C56" w:rsidRPr="0078085B" w:rsidRDefault="006B7C56" w:rsidP="006B7C56">
      <w:pPr>
        <w:pStyle w:val="Mans"/>
        <w:rPr>
          <w:rFonts w:ascii="Times New Roman" w:hAnsi="Times New Roman" w:cs="Times New Roman"/>
          <w:b/>
          <w:sz w:val="24"/>
          <w:szCs w:val="24"/>
        </w:rPr>
      </w:pPr>
      <w:proofErr w:type="spellStart"/>
      <w:proofErr w:type="gramStart"/>
      <w:r w:rsidRPr="0078085B">
        <w:rPr>
          <w:rFonts w:ascii="Times New Roman" w:hAnsi="Times New Roman" w:cs="Times New Roman"/>
          <w:b/>
          <w:sz w:val="24"/>
          <w:szCs w:val="24"/>
        </w:rPr>
        <w:t>Biogēnu</w:t>
      </w:r>
      <w:proofErr w:type="spellEnd"/>
      <w:r w:rsidRPr="0078085B">
        <w:rPr>
          <w:rFonts w:ascii="Times New Roman" w:hAnsi="Times New Roman" w:cs="Times New Roman"/>
          <w:b/>
          <w:sz w:val="24"/>
          <w:szCs w:val="24"/>
        </w:rPr>
        <w:t xml:space="preserve"> piesārņojuma ienese</w:t>
      </w:r>
      <w:proofErr w:type="gramEnd"/>
    </w:p>
    <w:p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Pasākumi, kas izriet no Eiropas Parlamenta un Padomes direktīvas (ES) 2016/2284 (</w:t>
      </w:r>
      <w:proofErr w:type="gramStart"/>
      <w:r w:rsidRPr="0078085B">
        <w:rPr>
          <w:rFonts w:ascii="Times New Roman" w:hAnsi="Times New Roman" w:cs="Times New Roman"/>
          <w:sz w:val="24"/>
          <w:szCs w:val="24"/>
        </w:rPr>
        <w:t>2016.gada</w:t>
      </w:r>
      <w:proofErr w:type="gramEnd"/>
      <w:r w:rsidRPr="0078085B">
        <w:rPr>
          <w:rFonts w:ascii="Times New Roman" w:hAnsi="Times New Roman" w:cs="Times New Roman"/>
          <w:sz w:val="24"/>
          <w:szCs w:val="24"/>
        </w:rPr>
        <w:t xml:space="preserve"> 14.decembris) par dažu gaisu piesārņojošo vielu valstu emisiju samazināšanu un ar ko groza Direktīvu 2003/35/EK un atceļ Direktīvu 2001/81/EK un Ministru Kabineta rīkojuma Nr.197 (16.04.2020.) “</w:t>
      </w:r>
      <w:r w:rsidRPr="0078085B">
        <w:rPr>
          <w:rFonts w:ascii="Times New Roman" w:hAnsi="Times New Roman" w:cs="Times New Roman"/>
          <w:bCs/>
          <w:sz w:val="24"/>
          <w:szCs w:val="24"/>
        </w:rPr>
        <w:t>Par Gaisa piesārņojuma samazināšanas rīcības plānu 2020.-2030. gadam”.</w:t>
      </w:r>
    </w:p>
    <w:p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 (rīcības eitrofikācijas segmentā).</w:t>
      </w:r>
    </w:p>
    <w:p w:rsidR="006B7C56" w:rsidRPr="0078085B" w:rsidRDefault="006B7C56" w:rsidP="006B7C56">
      <w:pPr>
        <w:pStyle w:val="Mans"/>
        <w:numPr>
          <w:ilvl w:val="0"/>
          <w:numId w:val="4"/>
        </w:numPr>
        <w:rPr>
          <w:rFonts w:ascii="Times New Roman" w:hAnsi="Times New Roman" w:cs="Times New Roman"/>
          <w:sz w:val="24"/>
          <w:szCs w:val="24"/>
        </w:rPr>
      </w:pPr>
      <w:r w:rsidRPr="0078085B">
        <w:rPr>
          <w:rFonts w:ascii="Times New Roman" w:hAnsi="Times New Roman" w:cs="Times New Roman"/>
          <w:sz w:val="24"/>
          <w:szCs w:val="24"/>
        </w:rPr>
        <w:t xml:space="preserve">Papildus pasākumi </w:t>
      </w:r>
      <w:proofErr w:type="spellStart"/>
      <w:r w:rsidRPr="0078085B">
        <w:rPr>
          <w:rFonts w:ascii="Times New Roman" w:hAnsi="Times New Roman" w:cs="Times New Roman"/>
          <w:sz w:val="24"/>
          <w:szCs w:val="24"/>
        </w:rPr>
        <w:t>biogēnu</w:t>
      </w:r>
      <w:proofErr w:type="spellEnd"/>
      <w:r w:rsidRPr="0078085B">
        <w:rPr>
          <w:rFonts w:ascii="Times New Roman" w:hAnsi="Times New Roman" w:cs="Times New Roman"/>
          <w:sz w:val="24"/>
          <w:szCs w:val="24"/>
        </w:rPr>
        <w:t xml:space="preserve"> piesārņojuma ieneses samazināšanai, kas noteikti “Upju baseinu apsaimniekošanas plānos” 2022.-</w:t>
      </w:r>
      <w:proofErr w:type="gramStart"/>
      <w:r w:rsidRPr="0078085B">
        <w:rPr>
          <w:rFonts w:ascii="Times New Roman" w:hAnsi="Times New Roman" w:cs="Times New Roman"/>
          <w:sz w:val="24"/>
          <w:szCs w:val="24"/>
        </w:rPr>
        <w:t>2027.gadam</w:t>
      </w:r>
      <w:proofErr w:type="gramEnd"/>
      <w:r w:rsidRPr="0078085B">
        <w:rPr>
          <w:rStyle w:val="FootnoteReference"/>
          <w:rFonts w:ascii="Times New Roman" w:hAnsi="Times New Roman" w:cs="Times New Roman"/>
          <w:sz w:val="24"/>
          <w:szCs w:val="24"/>
        </w:rPr>
        <w:footnoteReference w:id="5"/>
      </w:r>
      <w:r w:rsidRPr="0078085B">
        <w:rPr>
          <w:rFonts w:ascii="Times New Roman" w:hAnsi="Times New Roman" w:cs="Times New Roman"/>
          <w:sz w:val="24"/>
          <w:szCs w:val="24"/>
        </w:rPr>
        <w:t>, tajā skaitā:</w:t>
      </w:r>
    </w:p>
    <w:p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lauksaimniecības radītā piesārņojuma samazināšanai ietekmētajos “riska” ūdensobjektos, tajā skaitā, i</w:t>
      </w:r>
      <w:r w:rsidRPr="0078085B">
        <w:rPr>
          <w:rFonts w:ascii="Times New Roman" w:hAnsi="Times New Roman" w:cs="Times New Roman"/>
          <w:sz w:val="24"/>
          <w:szCs w:val="24"/>
        </w:rPr>
        <w:t xml:space="preserve">erīkot ilggadīgos stādījumus aramzemēs, ieviest konservējošo (minimālo) augsnes apstrādi, samazināt slāpekļa mēslojuma lietojumu (par 20% no normas), izveidot </w:t>
      </w:r>
      <w:proofErr w:type="spellStart"/>
      <w:r w:rsidRPr="0078085B">
        <w:rPr>
          <w:rFonts w:ascii="Times New Roman" w:hAnsi="Times New Roman" w:cs="Times New Roman"/>
          <w:sz w:val="24"/>
          <w:szCs w:val="24"/>
        </w:rPr>
        <w:t>sedimentācijas</w:t>
      </w:r>
      <w:proofErr w:type="spellEnd"/>
      <w:r w:rsidRPr="0078085B">
        <w:rPr>
          <w:rFonts w:ascii="Times New Roman" w:hAnsi="Times New Roman" w:cs="Times New Roman"/>
          <w:sz w:val="24"/>
          <w:szCs w:val="24"/>
        </w:rPr>
        <w:t xml:space="preserve"> dīķi (baseinu), ierīkot kontrolēto drenāžu, ierīkot mākslīgo mitrzemi </w:t>
      </w:r>
      <w:proofErr w:type="gramStart"/>
      <w:r w:rsidRPr="0078085B">
        <w:rPr>
          <w:rFonts w:ascii="Times New Roman" w:hAnsi="Times New Roman" w:cs="Times New Roman"/>
          <w:sz w:val="24"/>
          <w:szCs w:val="24"/>
        </w:rPr>
        <w:t>(</w:t>
      </w:r>
      <w:proofErr w:type="gramEnd"/>
      <w:r w:rsidRPr="0078085B">
        <w:rPr>
          <w:rFonts w:ascii="Times New Roman" w:hAnsi="Times New Roman" w:cs="Times New Roman"/>
          <w:sz w:val="24"/>
          <w:szCs w:val="24"/>
        </w:rPr>
        <w:t xml:space="preserve">virszemes vai pazemes), pāriet uz bioloģisko lauksaimniecību, ierīkot </w:t>
      </w:r>
      <w:proofErr w:type="spellStart"/>
      <w:r w:rsidRPr="0078085B">
        <w:rPr>
          <w:rFonts w:ascii="Times New Roman" w:hAnsi="Times New Roman" w:cs="Times New Roman"/>
          <w:sz w:val="24"/>
          <w:szCs w:val="24"/>
        </w:rPr>
        <w:t>buferjoslu</w:t>
      </w:r>
      <w:proofErr w:type="spellEnd"/>
      <w:r w:rsidRPr="0078085B">
        <w:rPr>
          <w:rFonts w:ascii="Times New Roman" w:hAnsi="Times New Roman" w:cs="Times New Roman"/>
          <w:sz w:val="24"/>
          <w:szCs w:val="24"/>
        </w:rPr>
        <w:t xml:space="preserve"> gar ūdenstecēm (meliorācijas grāvjiem) 6 m platumā;</w:t>
      </w:r>
    </w:p>
    <w:p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mežsaimniecības radītā piesārņojuma samazināšanai ietekmētajos “riska” ūdensobjektos, tajā skaitā, i</w:t>
      </w:r>
      <w:r w:rsidRPr="0078085B">
        <w:rPr>
          <w:rFonts w:ascii="Times New Roman" w:hAnsi="Times New Roman" w:cs="Times New Roman"/>
          <w:sz w:val="24"/>
          <w:szCs w:val="24"/>
        </w:rPr>
        <w:t>erīkot meža piekrastes aizsargjoslu (</w:t>
      </w:r>
      <w:proofErr w:type="spellStart"/>
      <w:r w:rsidRPr="0078085B">
        <w:rPr>
          <w:rFonts w:ascii="Times New Roman" w:hAnsi="Times New Roman" w:cs="Times New Roman"/>
          <w:sz w:val="24"/>
          <w:szCs w:val="24"/>
        </w:rPr>
        <w:t>buferjoslu</w:t>
      </w:r>
      <w:proofErr w:type="spellEnd"/>
      <w:r w:rsidRPr="0078085B">
        <w:rPr>
          <w:rFonts w:ascii="Times New Roman" w:hAnsi="Times New Roman" w:cs="Times New Roman"/>
          <w:sz w:val="24"/>
          <w:szCs w:val="24"/>
        </w:rPr>
        <w:t xml:space="preserve">) 15 m platumā, izveidot maksimālās plūsmas kontroles dambi, ierīkot virszemes filtrācijas platību, ierīkot </w:t>
      </w:r>
      <w:proofErr w:type="spellStart"/>
      <w:r w:rsidRPr="0078085B">
        <w:rPr>
          <w:rFonts w:ascii="Times New Roman" w:hAnsi="Times New Roman" w:cs="Times New Roman"/>
          <w:sz w:val="24"/>
          <w:szCs w:val="24"/>
        </w:rPr>
        <w:t>sedimentācijas</w:t>
      </w:r>
      <w:proofErr w:type="spellEnd"/>
      <w:r w:rsidRPr="0078085B">
        <w:rPr>
          <w:rFonts w:ascii="Times New Roman" w:hAnsi="Times New Roman" w:cs="Times New Roman"/>
          <w:sz w:val="24"/>
          <w:szCs w:val="24"/>
        </w:rPr>
        <w:t xml:space="preserve"> dīķi (baseinu);</w:t>
      </w:r>
    </w:p>
    <w:p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w:t>
      </w:r>
      <w:r w:rsidRPr="0078085B">
        <w:rPr>
          <w:rFonts w:ascii="Times New Roman" w:hAnsi="Times New Roman" w:cs="Times New Roman"/>
          <w:bCs/>
          <w:sz w:val="24"/>
          <w:szCs w:val="24"/>
        </w:rPr>
        <w:t xml:space="preserve">notekūdeņu radītā </w:t>
      </w:r>
      <w:proofErr w:type="spellStart"/>
      <w:r w:rsidRPr="0078085B">
        <w:rPr>
          <w:rFonts w:ascii="Times New Roman" w:hAnsi="Times New Roman" w:cs="Times New Roman"/>
          <w:bCs/>
          <w:sz w:val="24"/>
          <w:szCs w:val="24"/>
        </w:rPr>
        <w:t>punktveida</w:t>
      </w:r>
      <w:proofErr w:type="spellEnd"/>
      <w:r w:rsidRPr="0078085B">
        <w:rPr>
          <w:rFonts w:ascii="Times New Roman" w:hAnsi="Times New Roman" w:cs="Times New Roman"/>
          <w:bCs/>
          <w:sz w:val="24"/>
          <w:szCs w:val="24"/>
        </w:rPr>
        <w:t xml:space="preserve"> piesārņojuma samazināšanai ietekmētajos “riska” ūdensobjektos, izbūvējot jaunas notekūdeņu attīrīšanas iekārtas (NAI) un uzlabojot esošo NAI darbību, v</w:t>
      </w:r>
      <w:r w:rsidRPr="0078085B">
        <w:rPr>
          <w:rFonts w:ascii="Times New Roman" w:hAnsi="Times New Roman" w:cs="Times New Roman"/>
          <w:sz w:val="24"/>
          <w:szCs w:val="24"/>
        </w:rPr>
        <w:t>eicot pastiprinātu NAI darbības efektivitātes kontroli un priekšlikumu sagatavošanu NAI darbības uzlabošanai, ja kontroles gaitā fiksēta nepieciešamība pēc NAI darbības uzlabošanas, pārskatot piesārņojošās darbības atļaujās atļautos piesārņojuma novadīšanas apjomus u.c.;</w:t>
      </w:r>
    </w:p>
    <w:p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decentralizēto kanalizācijas sistēmu radītā piesārņojuma samazināšanai, tajā skaitā, kontrolēt decentralizētās kanalizācijas sistēmas un veikt atbilstošu apsaimniekošanu, samazināt </w:t>
      </w:r>
      <w:proofErr w:type="gramStart"/>
      <w:r w:rsidRPr="0078085B">
        <w:rPr>
          <w:rFonts w:ascii="Times New Roman" w:hAnsi="Times New Roman" w:cs="Times New Roman"/>
          <w:sz w:val="24"/>
          <w:szCs w:val="24"/>
        </w:rPr>
        <w:t xml:space="preserve">izkliedēto </w:t>
      </w:r>
      <w:proofErr w:type="spellStart"/>
      <w:r w:rsidRPr="0078085B">
        <w:rPr>
          <w:rFonts w:ascii="Times New Roman" w:hAnsi="Times New Roman" w:cs="Times New Roman"/>
          <w:sz w:val="24"/>
          <w:szCs w:val="24"/>
        </w:rPr>
        <w:t>biogēnu</w:t>
      </w:r>
      <w:proofErr w:type="spellEnd"/>
      <w:r w:rsidRPr="0078085B">
        <w:rPr>
          <w:rFonts w:ascii="Times New Roman" w:hAnsi="Times New Roman" w:cs="Times New Roman"/>
          <w:sz w:val="24"/>
          <w:szCs w:val="24"/>
        </w:rPr>
        <w:t xml:space="preserve"> slodzi</w:t>
      </w:r>
      <w:proofErr w:type="gramEnd"/>
      <w:r w:rsidRPr="0078085B">
        <w:rPr>
          <w:rFonts w:ascii="Times New Roman" w:hAnsi="Times New Roman" w:cs="Times New Roman"/>
          <w:sz w:val="24"/>
          <w:szCs w:val="24"/>
        </w:rPr>
        <w:t xml:space="preserve"> tūrisma mītnēs, kempingos un rekreācijas teritorijās;</w:t>
      </w:r>
    </w:p>
    <w:p w:rsidR="006B7C56" w:rsidRPr="0078085B" w:rsidRDefault="006B7C56" w:rsidP="006B7C56">
      <w:pPr>
        <w:pStyle w:val="Mans"/>
        <w:numPr>
          <w:ilvl w:val="0"/>
          <w:numId w:val="7"/>
        </w:numPr>
        <w:rPr>
          <w:rFonts w:ascii="Times New Roman" w:hAnsi="Times New Roman" w:cs="Times New Roman"/>
          <w:sz w:val="24"/>
          <w:szCs w:val="24"/>
        </w:rPr>
      </w:pPr>
      <w:r w:rsidRPr="0078085B">
        <w:rPr>
          <w:rFonts w:ascii="Times New Roman" w:hAnsi="Times New Roman" w:cs="Times New Roman"/>
          <w:sz w:val="24"/>
          <w:szCs w:val="24"/>
        </w:rPr>
        <w:t xml:space="preserve">pasākumi pārrobežu piesārņojuma samazināšanai, tajā skaitā, sadarboties ar Lietuvas, Baltkrievijas, Krievijas un Igaunijas iestādēm, kas atbild par UBAP izstrādi un īstenošanu, </w:t>
      </w:r>
      <w:proofErr w:type="gramStart"/>
      <w:r w:rsidRPr="0078085B">
        <w:rPr>
          <w:rFonts w:ascii="Times New Roman" w:hAnsi="Times New Roman" w:cs="Times New Roman"/>
          <w:sz w:val="24"/>
          <w:szCs w:val="24"/>
        </w:rPr>
        <w:t>ar mērķi sagatavot</w:t>
      </w:r>
      <w:proofErr w:type="gramEnd"/>
      <w:r w:rsidRPr="0078085B">
        <w:rPr>
          <w:rFonts w:ascii="Times New Roman" w:hAnsi="Times New Roman" w:cs="Times New Roman"/>
          <w:sz w:val="24"/>
          <w:szCs w:val="24"/>
        </w:rPr>
        <w:t xml:space="preserve"> starptautiskus apsaimniekošanas plānus kopīgajiem upju baseiniem; turpināt starpvalstu sadarbību par pārrobežu piesārņojuma samazināšanu un ūdens kvalitātes uzlabošanu, kopīgas monitoringa programmas saskaņošanu un kopīgu ekoloģiskās kvalitātes novērtējumu.</w:t>
      </w: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Bīstamo vielu piesārņojums ienese</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(EK) Nr. 1907/2006 (</w:t>
      </w:r>
      <w:proofErr w:type="gramStart"/>
      <w:r w:rsidRPr="0078085B">
        <w:rPr>
          <w:rFonts w:ascii="Times New Roman" w:hAnsi="Times New Roman" w:cs="Times New Roman"/>
          <w:sz w:val="24"/>
          <w:szCs w:val="24"/>
        </w:rPr>
        <w:t>2006.gada</w:t>
      </w:r>
      <w:proofErr w:type="gramEnd"/>
      <w:r w:rsidRPr="0078085B">
        <w:rPr>
          <w:rFonts w:ascii="Times New Roman" w:hAnsi="Times New Roman" w:cs="Times New Roman"/>
          <w:sz w:val="24"/>
          <w:szCs w:val="24"/>
        </w:rPr>
        <w:t xml:space="preserve"> 18.decembris), kas attiecas uz ķimikāliju reģistrēšanu, vērtēšanu, licencēšanu un ierobežošanu (</w:t>
      </w:r>
      <w:r w:rsidRPr="0078085B">
        <w:rPr>
          <w:rStyle w:val="italics"/>
          <w:rFonts w:ascii="Times New Roman" w:hAnsi="Times New Roman" w:cs="Times New Roman"/>
          <w:sz w:val="24"/>
          <w:szCs w:val="24"/>
        </w:rPr>
        <w:t>REACH</w:t>
      </w:r>
      <w:r w:rsidRPr="0078085B">
        <w:rPr>
          <w:rFonts w:ascii="Times New Roman" w:hAnsi="Times New Roman" w:cs="Times New Roman"/>
          <w:sz w:val="24"/>
          <w:szCs w:val="24"/>
        </w:rPr>
        <w:t>),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Direktīvas 2012/19/ES (</w:t>
      </w:r>
      <w:proofErr w:type="gramStart"/>
      <w:r w:rsidRPr="0078085B">
        <w:rPr>
          <w:rFonts w:ascii="Times New Roman" w:hAnsi="Times New Roman" w:cs="Times New Roman"/>
          <w:sz w:val="24"/>
          <w:szCs w:val="24"/>
        </w:rPr>
        <w:t>2012.gada</w:t>
      </w:r>
      <w:proofErr w:type="gramEnd"/>
      <w:r w:rsidRPr="0078085B">
        <w:rPr>
          <w:rFonts w:ascii="Times New Roman" w:hAnsi="Times New Roman" w:cs="Times New Roman"/>
          <w:sz w:val="24"/>
          <w:szCs w:val="24"/>
        </w:rPr>
        <w:t xml:space="preserve"> 4.jūlijs) par elektrisko un elektronisko iekārtu atkritumiem (EEIA).</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Eiropas Parlamenta un Padomes Direktīvas 2011/65/ES (</w:t>
      </w:r>
      <w:proofErr w:type="gramStart"/>
      <w:r w:rsidRPr="0078085B">
        <w:rPr>
          <w:rFonts w:ascii="Times New Roman" w:hAnsi="Times New Roman" w:cs="Times New Roman"/>
          <w:color w:val="000000" w:themeColor="text1"/>
          <w:sz w:val="24"/>
          <w:szCs w:val="24"/>
        </w:rPr>
        <w:t>2011.gada</w:t>
      </w:r>
      <w:proofErr w:type="gramEnd"/>
      <w:r w:rsidRPr="0078085B">
        <w:rPr>
          <w:rFonts w:ascii="Times New Roman" w:hAnsi="Times New Roman" w:cs="Times New Roman"/>
          <w:color w:val="000000" w:themeColor="text1"/>
          <w:sz w:val="24"/>
          <w:szCs w:val="24"/>
        </w:rPr>
        <w:t xml:space="preserve"> 8.jūnijs) par dažu bīstamu vielu izmantošanas ierobežošanu elektriskās un elektroniskās iekārtās (EEI).</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(ES) Nr. 1257/2013 (</w:t>
      </w:r>
      <w:proofErr w:type="gramStart"/>
      <w:r w:rsidRPr="0078085B">
        <w:rPr>
          <w:rFonts w:ascii="Times New Roman" w:hAnsi="Times New Roman" w:cs="Times New Roman"/>
          <w:sz w:val="24"/>
          <w:szCs w:val="24"/>
        </w:rPr>
        <w:t>2013.gada</w:t>
      </w:r>
      <w:proofErr w:type="gramEnd"/>
      <w:r w:rsidRPr="0078085B">
        <w:rPr>
          <w:rFonts w:ascii="Times New Roman" w:hAnsi="Times New Roman" w:cs="Times New Roman"/>
          <w:sz w:val="24"/>
          <w:szCs w:val="24"/>
        </w:rPr>
        <w:t xml:space="preserve"> 20.novembris) par kuģu pārstrādi un ar ko groza Regulu (EK) Nr. 1013/2006 un Direktīvu 2009/16/EK.</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proofErr w:type="gramStart"/>
      <w:r w:rsidRPr="0078085B">
        <w:rPr>
          <w:rFonts w:ascii="Times New Roman" w:hAnsi="Times New Roman" w:cs="Times New Roman"/>
          <w:sz w:val="24"/>
          <w:szCs w:val="24"/>
        </w:rPr>
        <w:t>2013.gada</w:t>
      </w:r>
      <w:proofErr w:type="gram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Minamatas</w:t>
      </w:r>
      <w:proofErr w:type="spellEnd"/>
      <w:r w:rsidRPr="0078085B">
        <w:rPr>
          <w:rFonts w:ascii="Times New Roman" w:hAnsi="Times New Roman" w:cs="Times New Roman"/>
          <w:sz w:val="24"/>
          <w:szCs w:val="24"/>
        </w:rPr>
        <w:t xml:space="preserve"> konvencijas par dzīvsudrabu un </w:t>
      </w:r>
      <w:r w:rsidRPr="0078085B">
        <w:rPr>
          <w:rFonts w:ascii="Times New Roman" w:hAnsi="Times New Roman" w:cs="Times New Roman"/>
          <w:color w:val="000000" w:themeColor="text1"/>
          <w:sz w:val="24"/>
          <w:szCs w:val="24"/>
        </w:rPr>
        <w:t xml:space="preserve">Eiropas Parlamenta un Padomes </w:t>
      </w:r>
      <w:r w:rsidRPr="0078085B">
        <w:rPr>
          <w:rFonts w:ascii="Times New Roman" w:hAnsi="Times New Roman" w:cs="Times New Roman"/>
          <w:sz w:val="24"/>
          <w:szCs w:val="24"/>
        </w:rPr>
        <w:t>Regulas (ES) 2017/852 (2017.gada 17.maijs) par dzīvsudrabu un ar ko atceļ Regulu (EK) Nr. 1102/2008.</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izriet no </w:t>
      </w:r>
      <w:proofErr w:type="gramStart"/>
      <w:r w:rsidRPr="0078085B">
        <w:rPr>
          <w:rFonts w:ascii="Times New Roman" w:hAnsi="Times New Roman" w:cs="Times New Roman"/>
          <w:sz w:val="24"/>
          <w:szCs w:val="24"/>
        </w:rPr>
        <w:t>1979.gada</w:t>
      </w:r>
      <w:proofErr w:type="gramEnd"/>
      <w:r w:rsidRPr="0078085B">
        <w:rPr>
          <w:rFonts w:ascii="Times New Roman" w:hAnsi="Times New Roman" w:cs="Times New Roman"/>
          <w:sz w:val="24"/>
          <w:szCs w:val="24"/>
        </w:rPr>
        <w:t xml:space="preserve"> Ženēvas konvencijas par </w:t>
      </w:r>
      <w:proofErr w:type="spellStart"/>
      <w:r w:rsidRPr="0078085B">
        <w:rPr>
          <w:rFonts w:ascii="Times New Roman" w:hAnsi="Times New Roman" w:cs="Times New Roman"/>
          <w:sz w:val="24"/>
          <w:szCs w:val="24"/>
        </w:rPr>
        <w:t>robežšķērsojošo</w:t>
      </w:r>
      <w:proofErr w:type="spellEnd"/>
      <w:r w:rsidRPr="0078085B">
        <w:rPr>
          <w:rFonts w:ascii="Times New Roman" w:hAnsi="Times New Roman" w:cs="Times New Roman"/>
          <w:sz w:val="24"/>
          <w:szCs w:val="24"/>
        </w:rPr>
        <w:t xml:space="preserve"> gaisa piesārņošanu lielos attālumos 1998.gada protokola par noturīgiem organiskajiem piesārņotājiem, 2001.gada Stokholmas konvencijas par noturīgiem organiskajiem piesārņotājiem un </w:t>
      </w:r>
      <w:r w:rsidRPr="0078085B">
        <w:rPr>
          <w:rFonts w:ascii="Times New Roman" w:hAnsi="Times New Roman" w:cs="Times New Roman"/>
          <w:color w:val="000000" w:themeColor="text1"/>
          <w:sz w:val="24"/>
          <w:szCs w:val="24"/>
        </w:rPr>
        <w:t>Eiropas Parlamenta un Padomes Regulas (ES) 2019/1021 (2019.gada 20.jūnijs) par noturīgajiem organiskajiem piesārņotājiem.</w:t>
      </w:r>
      <w:r w:rsidRPr="0078085B">
        <w:rPr>
          <w:rFonts w:ascii="Times New Roman" w:hAnsi="Times New Roman" w:cs="Times New Roman"/>
          <w:sz w:val="24"/>
          <w:szCs w:val="24"/>
        </w:rPr>
        <w:t xml:space="preserve"> </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izriet no atjaunotā HELCOM “Baltijas jūras rīcības plāna” (2021) (rīcības bīstamo vielu segmentā).</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Papildus pasākumi bīstamo vielu piesārņojuma ieneses samazināšanai, kas noteikti “Upju baseinu apsaimniekošanas plānos” 2022.-</w:t>
      </w:r>
      <w:proofErr w:type="gramStart"/>
      <w:r w:rsidRPr="0078085B">
        <w:rPr>
          <w:rFonts w:ascii="Times New Roman" w:hAnsi="Times New Roman" w:cs="Times New Roman"/>
          <w:sz w:val="24"/>
          <w:szCs w:val="24"/>
        </w:rPr>
        <w:t>2027.gadam</w:t>
      </w:r>
      <w:proofErr w:type="gramEnd"/>
      <w:r w:rsidRPr="0078085B">
        <w:rPr>
          <w:rFonts w:ascii="Times New Roman" w:hAnsi="Times New Roman" w:cs="Times New Roman"/>
          <w:sz w:val="24"/>
          <w:szCs w:val="24"/>
        </w:rPr>
        <w:t>, tajā skaitā:</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veikt prioritāro un bīstamo vielu </w:t>
      </w:r>
      <w:proofErr w:type="spellStart"/>
      <w:r w:rsidRPr="0078085B">
        <w:rPr>
          <w:rFonts w:ascii="Times New Roman" w:hAnsi="Times New Roman" w:cs="Times New Roman"/>
          <w:sz w:val="24"/>
          <w:szCs w:val="24"/>
        </w:rPr>
        <w:t>skrīningu</w:t>
      </w:r>
      <w:proofErr w:type="spellEnd"/>
      <w:r w:rsidRPr="0078085B">
        <w:rPr>
          <w:rFonts w:ascii="Times New Roman" w:hAnsi="Times New Roman" w:cs="Times New Roman"/>
          <w:sz w:val="24"/>
          <w:szCs w:val="24"/>
        </w:rPr>
        <w:t xml:space="preserve"> notekūdeņu izplūdēs un pārskatīt piesārņojošās darbības atļaujas, iekļaujot plašāku prioritāro un bīstamo vielu monitoringu gan notekūdeņu izplūdēs, gan augšpus un lejpus izplūdēm, balstoties uz </w:t>
      </w:r>
      <w:proofErr w:type="spellStart"/>
      <w:r w:rsidRPr="0078085B">
        <w:rPr>
          <w:rFonts w:ascii="Times New Roman" w:hAnsi="Times New Roman" w:cs="Times New Roman"/>
          <w:sz w:val="24"/>
          <w:szCs w:val="24"/>
        </w:rPr>
        <w:t>skrīninga</w:t>
      </w:r>
      <w:proofErr w:type="spellEnd"/>
      <w:r w:rsidRPr="0078085B">
        <w:rPr>
          <w:rFonts w:ascii="Times New Roman" w:hAnsi="Times New Roman" w:cs="Times New Roman"/>
          <w:sz w:val="24"/>
          <w:szCs w:val="24"/>
        </w:rPr>
        <w:t xml:space="preserve"> rezultātiem;</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ūdensobjektos ar dzīvsudraba koncentrāciju pārsniegumu veikt dzīvsudraba monitoringu virszemes ūdensobjektos, veikt datu analīzi piesārņojuma avota noskaidrošanai un īstenot pasākumus piesārņojuma samazināšanai;</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ūdensobjektos ar PFOS koncentrāciju pārsniegumu noteikt PFOS rašanās avotus – veikt PFOS monitoringu virszemes ūdenī un notekūdeņu izplūdēs ar mērķi noteikt vielas rašanās avotus notekūdeņu izplūdēs;</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veikt tendenču monitoringu ūdensobjektos ar dzīvsudraba un PBDE pārsniegumiem zivīs;</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noteikt TBT rašanās avotus: Veikt TBT monitoringu virszemes ūdenī ar pārsniegumiem 2015.-2019. gadā (ūdensobjektā V003SP Liepājas Tirdzniecības kanāls),</w:t>
      </w:r>
      <w:proofErr w:type="gramStart"/>
      <w:r w:rsidRPr="0078085B">
        <w:rPr>
          <w:rFonts w:ascii="Times New Roman" w:hAnsi="Times New Roman" w:cs="Times New Roman"/>
          <w:sz w:val="24"/>
          <w:szCs w:val="24"/>
        </w:rPr>
        <w:t xml:space="preserve">  </w:t>
      </w:r>
      <w:proofErr w:type="gramEnd"/>
      <w:r w:rsidRPr="0078085B">
        <w:rPr>
          <w:rFonts w:ascii="Times New Roman" w:hAnsi="Times New Roman" w:cs="Times New Roman"/>
          <w:sz w:val="24"/>
          <w:szCs w:val="24"/>
        </w:rPr>
        <w:t xml:space="preserve">veikt monitoringu SIA “Liepājas kuģu būves rūpnīca” notekūdeņu izplūdē un piesārņojošās darbības atļaujas pārskatīšana attiecībā uz TBT emisijām vidē; </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pasākumi piesārņoto vietu sanācijai 15 piesārņotās vietās.</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ietverti “Atkritumu apsaimniekošanas valsts plānā 2021.-</w:t>
      </w:r>
      <w:proofErr w:type="gramStart"/>
      <w:r w:rsidRPr="0078085B">
        <w:rPr>
          <w:rFonts w:ascii="Times New Roman" w:hAnsi="Times New Roman" w:cs="Times New Roman"/>
          <w:sz w:val="24"/>
          <w:szCs w:val="24"/>
        </w:rPr>
        <w:t>2028.gadam</w:t>
      </w:r>
      <w:proofErr w:type="gramEnd"/>
      <w:r w:rsidRPr="0078085B">
        <w:rPr>
          <w:rFonts w:ascii="Times New Roman" w:hAnsi="Times New Roman" w:cs="Times New Roman"/>
          <w:sz w:val="24"/>
          <w:szCs w:val="24"/>
        </w:rPr>
        <w:t>” (Ministru kabineta rīkojums Nr. 45 (22.01.2021.) “Atkritumu apsaimniekošanas valsts plāns 2021.-2028.gadam”)</w:t>
      </w:r>
      <w:r w:rsidRPr="0078085B">
        <w:rPr>
          <w:rStyle w:val="FootnoteReference"/>
          <w:rFonts w:ascii="Times New Roman" w:hAnsi="Times New Roman" w:cs="Times New Roman"/>
          <w:sz w:val="24"/>
          <w:szCs w:val="24"/>
        </w:rPr>
        <w:footnoteReference w:id="6"/>
      </w:r>
      <w:r w:rsidRPr="0078085B">
        <w:rPr>
          <w:rFonts w:ascii="Times New Roman" w:hAnsi="Times New Roman" w:cs="Times New Roman"/>
          <w:sz w:val="24"/>
          <w:szCs w:val="24"/>
        </w:rPr>
        <w:t>, tajā skaitā:</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līdz </w:t>
      </w:r>
      <w:proofErr w:type="gramStart"/>
      <w:r w:rsidRPr="0078085B">
        <w:rPr>
          <w:rFonts w:ascii="Times New Roman" w:hAnsi="Times New Roman" w:cs="Times New Roman"/>
          <w:sz w:val="24"/>
          <w:szCs w:val="24"/>
        </w:rPr>
        <w:t>2035.gadam</w:t>
      </w:r>
      <w:proofErr w:type="gramEnd"/>
      <w:r w:rsidRPr="0078085B">
        <w:rPr>
          <w:rFonts w:ascii="Times New Roman" w:hAnsi="Times New Roman" w:cs="Times New Roman"/>
          <w:sz w:val="24"/>
          <w:szCs w:val="24"/>
        </w:rPr>
        <w:t xml:space="preserve"> samazināt poligonos apglabāto sadzīves atkritumu daudzumu līdz 10% no radītā sadzīves atkritumu daudzuma;</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 xml:space="preserve">līdz </w:t>
      </w:r>
      <w:proofErr w:type="gramStart"/>
      <w:r w:rsidRPr="0078085B">
        <w:rPr>
          <w:rFonts w:ascii="Times New Roman" w:hAnsi="Times New Roman" w:cs="Times New Roman"/>
          <w:sz w:val="24"/>
          <w:szCs w:val="24"/>
        </w:rPr>
        <w:t>2025.gadam</w:t>
      </w:r>
      <w:proofErr w:type="gramEnd"/>
      <w:r w:rsidRPr="0078085B">
        <w:rPr>
          <w:rFonts w:ascii="Times New Roman" w:hAnsi="Times New Roman" w:cs="Times New Roman"/>
          <w:sz w:val="24"/>
          <w:szCs w:val="24"/>
        </w:rPr>
        <w:t xml:space="preserve"> izveidot dalītu atkritumu savākšanas sistēmu attiecībā uz tekstilizstrādājumiem un sadzīves bīstamajiem atkritumiem (ietver arī EEIA);</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nodrošināt sadzīvē radušos bīstamo atkritumu savākšanas iespējas visos izveidotajos atkritumu dalītās savākšanas laukumos (aptverot sadzīves ķīmiju, piesārņotu iepakojumu, medikamentus u.c.);</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veicināt EEIA savākšanu un sagatavošanu pārstrādei (paredzēts iegādāties konteinerus EEIA savākšanai);</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informēt iedzīvotājus un veidot izpratni par EEIA atkritumu bīstamību un iespējām tos nodot bez maksas;</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īstenot investīciju projektus EEI sagatavošanas pārstrādei / reģenerācijai procesu un pārstrādes tehnoloģisko procesu pilnveidošanai;</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pasākumi, lai samazinātu atkritumu apsaimniekošanas radītā piesārņojuma slodzi uz vidi (pasākumi esošo atkritumu krātuvju rekultivācijai un konservācijai 6 poligonos, vides aizsardzības pasākumi saistībā ar atkritumu poligonu infrastruktūras paplašināšanu).</w:t>
      </w:r>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Pasākumi, kas ietverti “Vides politikas pamatnostādņu 2021.-</w:t>
      </w:r>
      <w:proofErr w:type="gramStart"/>
      <w:r w:rsidRPr="0078085B">
        <w:rPr>
          <w:rFonts w:ascii="Times New Roman" w:hAnsi="Times New Roman" w:cs="Times New Roman"/>
          <w:sz w:val="24"/>
          <w:szCs w:val="24"/>
        </w:rPr>
        <w:t>2027.gadam</w:t>
      </w:r>
      <w:proofErr w:type="gramEnd"/>
      <w:r w:rsidRPr="0078085B">
        <w:rPr>
          <w:rFonts w:ascii="Times New Roman" w:hAnsi="Times New Roman" w:cs="Times New Roman"/>
          <w:sz w:val="24"/>
          <w:szCs w:val="24"/>
        </w:rPr>
        <w:t xml:space="preserve"> 2.pielikumā “Latvijas nacionālais īstenošanas plāns par noturīgiem organiskajiem piesārņotājiem”:</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saistībā ar atkritumu apsaimniekošanas plāniem, konsekventi</w:t>
      </w:r>
      <w:proofErr w:type="gramStart"/>
      <w:r w:rsidRPr="0078085B">
        <w:rPr>
          <w:rFonts w:ascii="Times New Roman" w:hAnsi="Times New Roman" w:cs="Times New Roman"/>
          <w:sz w:val="24"/>
          <w:szCs w:val="24"/>
        </w:rPr>
        <w:t xml:space="preserve">  </w:t>
      </w:r>
      <w:proofErr w:type="gramEnd"/>
      <w:r w:rsidRPr="0078085B">
        <w:rPr>
          <w:rFonts w:ascii="Times New Roman" w:hAnsi="Times New Roman" w:cs="Times New Roman"/>
          <w:sz w:val="24"/>
          <w:szCs w:val="24"/>
        </w:rPr>
        <w:t xml:space="preserve">nodrošināt elektrisko un elektronisko iekārtu (EEI) atkritumu dalītu savākšanu un iespējamo </w:t>
      </w:r>
      <w:proofErr w:type="spellStart"/>
      <w:r w:rsidRPr="0078085B">
        <w:rPr>
          <w:rFonts w:ascii="Times New Roman" w:hAnsi="Times New Roman" w:cs="Times New Roman"/>
          <w:sz w:val="24"/>
          <w:szCs w:val="24"/>
        </w:rPr>
        <w:t>polibrominētos</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difenilēterus</w:t>
      </w:r>
      <w:proofErr w:type="spellEnd"/>
      <w:r w:rsidRPr="0078085B">
        <w:rPr>
          <w:rFonts w:ascii="Times New Roman" w:hAnsi="Times New Roman" w:cs="Times New Roman"/>
          <w:sz w:val="24"/>
          <w:szCs w:val="24"/>
        </w:rPr>
        <w:t xml:space="preserve"> (PBDE) saturošo daļu demontāžu;</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sz w:val="24"/>
          <w:szCs w:val="24"/>
        </w:rPr>
        <w:t>PBDE avotu noteikšana, veicot fokusētu pētījumu par to klātbūtni dažādās vietās (piemēram, mājsaimniecības, biroji), ka arī</w:t>
      </w:r>
      <w:proofErr w:type="gramStart"/>
      <w:r w:rsidRPr="0078085B">
        <w:rPr>
          <w:rFonts w:ascii="Times New Roman" w:hAnsi="Times New Roman" w:cs="Times New Roman"/>
          <w:sz w:val="24"/>
          <w:szCs w:val="24"/>
        </w:rPr>
        <w:t xml:space="preserve">  </w:t>
      </w:r>
      <w:proofErr w:type="gramEnd"/>
      <w:r w:rsidRPr="0078085B">
        <w:rPr>
          <w:rFonts w:ascii="Times New Roman" w:hAnsi="Times New Roman" w:cs="Times New Roman"/>
          <w:sz w:val="24"/>
          <w:szCs w:val="24"/>
        </w:rPr>
        <w:t>saistībā ar informācijas un komunikāciju tehnoloģiju un EEI produktu izcelsmi un lietojumu;</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bCs/>
          <w:sz w:val="24"/>
          <w:szCs w:val="24"/>
        </w:rPr>
        <w:t xml:space="preserve">sistematizēta un plānota informācijas iegūšana par izstrādājumu sastāvā esošajām </w:t>
      </w:r>
      <w:proofErr w:type="spellStart"/>
      <w:r w:rsidRPr="0078085B">
        <w:rPr>
          <w:rFonts w:ascii="Times New Roman" w:hAnsi="Times New Roman" w:cs="Times New Roman"/>
          <w:bCs/>
          <w:sz w:val="24"/>
          <w:szCs w:val="24"/>
        </w:rPr>
        <w:t>p</w:t>
      </w:r>
      <w:r w:rsidRPr="0078085B">
        <w:rPr>
          <w:rFonts w:ascii="Times New Roman" w:hAnsi="Times New Roman" w:cs="Times New Roman"/>
          <w:sz w:val="24"/>
          <w:szCs w:val="24"/>
        </w:rPr>
        <w:t>erfluoroktānsulfoskābēm</w:t>
      </w:r>
      <w:proofErr w:type="spellEnd"/>
      <w:r w:rsidRPr="0078085B">
        <w:rPr>
          <w:rFonts w:ascii="Times New Roman" w:hAnsi="Times New Roman" w:cs="Times New Roman"/>
          <w:sz w:val="24"/>
          <w:szCs w:val="24"/>
        </w:rPr>
        <w:t xml:space="preserve"> (</w:t>
      </w:r>
      <w:r w:rsidRPr="0078085B">
        <w:rPr>
          <w:rFonts w:ascii="Times New Roman" w:hAnsi="Times New Roman" w:cs="Times New Roman"/>
          <w:bCs/>
          <w:sz w:val="24"/>
          <w:szCs w:val="24"/>
        </w:rPr>
        <w:t>PFOS) gan no ražotājiem, izplatītājiem un, iespējams, importētājiem, kā arī no nozaru asociāciju pārstāvjiem, piemēram, veicot aptaujas;</w:t>
      </w:r>
    </w:p>
    <w:p w:rsidR="006B7C56" w:rsidRPr="0078085B" w:rsidRDefault="006B7C56" w:rsidP="006B7C56">
      <w:pPr>
        <w:pStyle w:val="Mans"/>
        <w:numPr>
          <w:ilvl w:val="1"/>
          <w:numId w:val="6"/>
        </w:numPr>
        <w:rPr>
          <w:rFonts w:ascii="Times New Roman" w:hAnsi="Times New Roman" w:cs="Times New Roman"/>
          <w:sz w:val="24"/>
          <w:szCs w:val="24"/>
        </w:rPr>
      </w:pPr>
      <w:r w:rsidRPr="0078085B">
        <w:rPr>
          <w:rFonts w:ascii="Times New Roman" w:hAnsi="Times New Roman" w:cs="Times New Roman"/>
          <w:bCs/>
          <w:sz w:val="24"/>
          <w:szCs w:val="24"/>
        </w:rPr>
        <w:t>iedzīvotāju un uzņēmumu izglītošana par PFOS sastopamību, to ietekmi un nevēlamajiem efektiem, kā arī par iespējamām alternatīvām to izmantošanas samazināšanai.</w:t>
      </w: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Ogļūdeņražu piesārņojums</w:t>
      </w:r>
    </w:p>
    <w:p w:rsidR="006B7C56" w:rsidRPr="0078085B" w:rsidRDefault="006B7C56" w:rsidP="006B7C56">
      <w:pPr>
        <w:pStyle w:val="Mans"/>
        <w:numPr>
          <w:ilvl w:val="0"/>
          <w:numId w:val="6"/>
        </w:numPr>
        <w:rPr>
          <w:rFonts w:ascii="Times New Roman" w:hAnsi="Times New Roman" w:cs="Times New Roman"/>
          <w:sz w:val="24"/>
          <w:szCs w:val="24"/>
        </w:rPr>
      </w:pPr>
      <w:r w:rsidRPr="0078085B">
        <w:rPr>
          <w:rStyle w:val="jlqj4b"/>
          <w:rFonts w:ascii="Times New Roman" w:hAnsi="Times New Roman" w:cs="Times New Roman"/>
          <w:sz w:val="24"/>
          <w:szCs w:val="24"/>
        </w:rPr>
        <w:t xml:space="preserve">Pasākumi, kas izriet no 2020.gadā </w:t>
      </w:r>
      <w:r w:rsidRPr="0078085B">
        <w:rPr>
          <w:rFonts w:ascii="Times New Roman" w:hAnsi="Times New Roman" w:cs="Times New Roman"/>
          <w:sz w:val="24"/>
          <w:szCs w:val="24"/>
        </w:rPr>
        <w:t>izstrādātā “Nacionālā rīcības plāna dzīvnieku glābšanai piesārņojuma gadījumā jūrā un krastā”</w:t>
      </w:r>
      <w:r w:rsidR="0078085B">
        <w:rPr>
          <w:rFonts w:ascii="Times New Roman" w:hAnsi="Times New Roman" w:cs="Times New Roman"/>
          <w:sz w:val="24"/>
          <w:szCs w:val="24"/>
        </w:rPr>
        <w:t>;</w:t>
      </w:r>
      <w:bookmarkStart w:id="0" w:name="_GoBack"/>
      <w:bookmarkEnd w:id="0"/>
    </w:p>
    <w:p w:rsidR="006B7C56" w:rsidRPr="0078085B" w:rsidRDefault="006B7C56" w:rsidP="006B7C56">
      <w:pPr>
        <w:pStyle w:val="Mans"/>
        <w:numPr>
          <w:ilvl w:val="0"/>
          <w:numId w:val="6"/>
        </w:numPr>
        <w:rPr>
          <w:rFonts w:ascii="Times New Roman" w:hAnsi="Times New Roman" w:cs="Times New Roman"/>
          <w:sz w:val="24"/>
          <w:szCs w:val="24"/>
        </w:rPr>
      </w:pPr>
      <w:r w:rsidRPr="0078085B">
        <w:rPr>
          <w:rFonts w:ascii="Times New Roman" w:hAnsi="Times New Roman" w:cs="Times New Roman"/>
          <w:sz w:val="24"/>
          <w:szCs w:val="24"/>
        </w:rPr>
        <w:t xml:space="preserve">Pasākumi, kas ietverti “Prioritāro rīcību programmā </w:t>
      </w:r>
      <w:proofErr w:type="spellStart"/>
      <w:proofErr w:type="gramStart"/>
      <w:r w:rsidRPr="0078085B">
        <w:rPr>
          <w:rFonts w:ascii="Times New Roman" w:hAnsi="Times New Roman" w:cs="Times New Roman"/>
          <w:sz w:val="24"/>
          <w:szCs w:val="24"/>
        </w:rPr>
        <w:t>Natura</w:t>
      </w:r>
      <w:proofErr w:type="spellEnd"/>
      <w:proofErr w:type="gramEnd"/>
      <w:r w:rsidRPr="0078085B">
        <w:rPr>
          <w:rFonts w:ascii="Times New Roman" w:hAnsi="Times New Roman" w:cs="Times New Roman"/>
          <w:sz w:val="24"/>
          <w:szCs w:val="24"/>
        </w:rPr>
        <w:t xml:space="preserve"> 2000 tīklam Latvijā (2021–2027)”: ī</w:t>
      </w:r>
      <w:r w:rsidRPr="0078085B">
        <w:rPr>
          <w:rStyle w:val="jlqj4b"/>
          <w:rFonts w:ascii="Times New Roman" w:hAnsi="Times New Roman" w:cs="Times New Roman"/>
          <w:sz w:val="24"/>
          <w:szCs w:val="24"/>
        </w:rPr>
        <w:t>stenot reaģēšanas rīcības dzīvnieku glābšanas darbiem jūras piesārņojuma avāriju gadījumā.</w:t>
      </w:r>
    </w:p>
    <w:p w:rsidR="006B7C56" w:rsidRPr="0078085B" w:rsidRDefault="006B7C56" w:rsidP="006B7C56">
      <w:pPr>
        <w:pStyle w:val="Mans"/>
        <w:rPr>
          <w:rFonts w:ascii="Times New Roman" w:hAnsi="Times New Roman" w:cs="Times New Roman"/>
          <w:b/>
          <w:sz w:val="24"/>
          <w:szCs w:val="24"/>
        </w:rPr>
      </w:pPr>
      <w:r w:rsidRPr="0078085B">
        <w:rPr>
          <w:rFonts w:ascii="Times New Roman" w:hAnsi="Times New Roman" w:cs="Times New Roman"/>
          <w:b/>
          <w:sz w:val="24"/>
          <w:szCs w:val="24"/>
        </w:rPr>
        <w:t>Jūru piesārņojošie atkritumi</w:t>
      </w:r>
    </w:p>
    <w:p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t>Pasākumi, kas ietverti “Atkritumu apsaimniekošanas valsts plānā 2021.-</w:t>
      </w:r>
      <w:proofErr w:type="gramStart"/>
      <w:r w:rsidRPr="0078085B">
        <w:rPr>
          <w:rFonts w:ascii="Times New Roman" w:hAnsi="Times New Roman" w:cs="Times New Roman"/>
          <w:sz w:val="24"/>
          <w:szCs w:val="24"/>
        </w:rPr>
        <w:t>2028.gadam</w:t>
      </w:r>
      <w:proofErr w:type="gramEnd"/>
      <w:r w:rsidRPr="0078085B">
        <w:rPr>
          <w:rFonts w:ascii="Times New Roman" w:hAnsi="Times New Roman" w:cs="Times New Roman"/>
          <w:sz w:val="24"/>
          <w:szCs w:val="24"/>
        </w:rPr>
        <w:t xml:space="preserve">” (Ministru kabineta rīkojums Nr. 45 (22.01.2021.) “Atkritumu apsaimniekošanas valsts plāns 2021.-2028.gadam”) atkritumu rašanās novēršanai, dalītas atkritumu vākšanas un atkārtotas izmantošanas sistēmu uzlabošanai, tajā skaitā patērētāju informēšanai un izglītošanai, lai samazinātu atkritumu rašanos un nonākšanu vidē. Tajā skaitā pasākumi sekojošu ES direktīvu prasību ieviešanai: Eiropas Parlamenta un Padomes Direktīva (ES) 2018/852 (2018. gada 30. maijs) ar ko groza Direktīvu 94/62/EK par iepakojumu un izlietoto iepakojumu; Eiropas Parlamenta un Padomes Direktīvai (ES) 2015/720 (2015.gada 29.aprīlis), ar ko groza Direktīvu 94/62/EK attiecībā uz vieglās plastmasas iepirkumu maisiņu patēriņa samazināšanu; Eiropas Parlamenta un Padomes Direktīva (ES) 2019/904 (2019.gada 5.jūnijs) par konkrētu plastmasas izstrādājumu ietekmes uz vidi samazināšanu; </w:t>
      </w:r>
      <w:r w:rsidRPr="0078085B">
        <w:rPr>
          <w:rFonts w:ascii="Times New Roman" w:hAnsi="Times New Roman" w:cs="Times New Roman"/>
          <w:bCs/>
          <w:color w:val="000000"/>
          <w:sz w:val="24"/>
          <w:szCs w:val="24"/>
        </w:rPr>
        <w:t>Eiropas Parlamenta un Padomes Direktīva (ES) 2019/883 (2019.gada 17.aprīlis) par ostas atkritumu pieņemšanas iekārtām kuģu atkritumu nodošanai un ar ko groza Direktīvu 2010/65/ES un atceļ Direktīvu 2000/59/EK.</w:t>
      </w:r>
    </w:p>
    <w:p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t>Pasākumi atbilstoši HELCOM Rekomendācijai 28E/10 (15.11.2007.) par netiešās maksas piemērošanas sistēmu.</w:t>
      </w:r>
    </w:p>
    <w:p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sz w:val="24"/>
          <w:szCs w:val="24"/>
        </w:rPr>
        <w:t xml:space="preserve">Pasākumi, kas izriet no HELCOM Rekomendācijas 42-43/3 (20.10.2021.) “Pārskatītais reģionālais rīcības plāns jūru piesārņojošiem atkritumiem” </w:t>
      </w:r>
      <w:proofErr w:type="gramStart"/>
      <w:r w:rsidRPr="0078085B">
        <w:rPr>
          <w:rFonts w:ascii="Times New Roman" w:hAnsi="Times New Roman" w:cs="Times New Roman"/>
          <w:sz w:val="24"/>
          <w:szCs w:val="24"/>
        </w:rPr>
        <w:t>(</w:t>
      </w:r>
      <w:proofErr w:type="gramEnd"/>
      <w:r w:rsidRPr="0078085B">
        <w:rPr>
          <w:rFonts w:ascii="Times New Roman" w:hAnsi="Times New Roman" w:cs="Times New Roman"/>
          <w:sz w:val="24"/>
          <w:szCs w:val="24"/>
        </w:rPr>
        <w:t>“</w:t>
      </w:r>
      <w:proofErr w:type="spellStart"/>
      <w:r w:rsidRPr="0078085B">
        <w:rPr>
          <w:rFonts w:ascii="Times New Roman" w:hAnsi="Times New Roman" w:cs="Times New Roman"/>
          <w:sz w:val="24"/>
          <w:szCs w:val="24"/>
        </w:rPr>
        <w:t>Revised</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Regional</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Action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Plan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on</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Marine</w:t>
      </w:r>
      <w:proofErr w:type="spellEnd"/>
      <w:r w:rsidRPr="0078085B">
        <w:rPr>
          <w:rFonts w:ascii="Times New Roman" w:hAnsi="Times New Roman" w:cs="Times New Roman"/>
          <w:sz w:val="24"/>
          <w:szCs w:val="24"/>
        </w:rPr>
        <w:t xml:space="preserve"> </w:t>
      </w:r>
      <w:proofErr w:type="spellStart"/>
      <w:r w:rsidRPr="0078085B">
        <w:rPr>
          <w:rFonts w:ascii="Times New Roman" w:hAnsi="Times New Roman" w:cs="Times New Roman"/>
          <w:sz w:val="24"/>
          <w:szCs w:val="24"/>
        </w:rPr>
        <w:t>Litter</w:t>
      </w:r>
      <w:proofErr w:type="spellEnd"/>
      <w:r w:rsidRPr="0078085B">
        <w:rPr>
          <w:rFonts w:ascii="Times New Roman" w:hAnsi="Times New Roman" w:cs="Times New Roman"/>
          <w:sz w:val="24"/>
          <w:szCs w:val="24"/>
        </w:rPr>
        <w:t>”.</w:t>
      </w:r>
    </w:p>
    <w:p w:rsidR="006B7C56" w:rsidRPr="0078085B" w:rsidRDefault="006B7C56" w:rsidP="006B7C56">
      <w:pPr>
        <w:pStyle w:val="Mans"/>
        <w:numPr>
          <w:ilvl w:val="0"/>
          <w:numId w:val="5"/>
        </w:numPr>
        <w:rPr>
          <w:rFonts w:ascii="Times New Roman" w:hAnsi="Times New Roman" w:cs="Times New Roman"/>
          <w:bCs/>
          <w:color w:val="000000"/>
          <w:sz w:val="24"/>
          <w:szCs w:val="24"/>
        </w:rPr>
      </w:pPr>
      <w:r w:rsidRPr="0078085B">
        <w:rPr>
          <w:rFonts w:ascii="Times New Roman" w:hAnsi="Times New Roman" w:cs="Times New Roman"/>
          <w:bCs/>
          <w:color w:val="000000"/>
          <w:sz w:val="24"/>
          <w:szCs w:val="24"/>
        </w:rPr>
        <w:t>Pasākumi, kas ietverti</w:t>
      </w:r>
      <w:r w:rsidRPr="0078085B">
        <w:rPr>
          <w:rFonts w:ascii="Times New Roman" w:hAnsi="Times New Roman" w:cs="Times New Roman"/>
          <w:sz w:val="24"/>
          <w:szCs w:val="24"/>
        </w:rPr>
        <w:t xml:space="preserve"> Atkritumu apsaimniekošanas valsts plāna 2021.-</w:t>
      </w:r>
      <w:proofErr w:type="gramStart"/>
      <w:r w:rsidRPr="0078085B">
        <w:rPr>
          <w:rFonts w:ascii="Times New Roman" w:hAnsi="Times New Roman" w:cs="Times New Roman"/>
          <w:sz w:val="24"/>
          <w:szCs w:val="24"/>
        </w:rPr>
        <w:t>2028.gadam</w:t>
      </w:r>
      <w:proofErr w:type="gramEnd"/>
      <w:r w:rsidRPr="0078085B">
        <w:rPr>
          <w:rFonts w:ascii="Times New Roman" w:hAnsi="Times New Roman" w:cs="Times New Roman"/>
          <w:sz w:val="24"/>
          <w:szCs w:val="24"/>
        </w:rPr>
        <w:t xml:space="preserve"> “Atkritumu rašanās novēršanas programmas” daļā “Pasākumi jūras, piekrastes, iekšzemes ūdeņu, īpaši aizsargājamo dabas teritoriju un citu teritoriju piegružojuma mazināšanai”, tajā skaitā:</w:t>
      </w:r>
    </w:p>
    <w:p w:rsidR="006B7C56" w:rsidRPr="0078085B" w:rsidRDefault="006B7C56" w:rsidP="006B7C56">
      <w:pPr>
        <w:pStyle w:val="Mans"/>
        <w:numPr>
          <w:ilvl w:val="0"/>
          <w:numId w:val="9"/>
        </w:numPr>
        <w:ind w:left="1418"/>
        <w:rPr>
          <w:rFonts w:ascii="Times New Roman" w:hAnsi="Times New Roman" w:cs="Times New Roman"/>
          <w:sz w:val="24"/>
          <w:szCs w:val="24"/>
        </w:rPr>
      </w:pPr>
      <w:r w:rsidRPr="0078085B">
        <w:rPr>
          <w:rFonts w:ascii="Times New Roman" w:hAnsi="Times New Roman" w:cs="Times New Roman"/>
          <w:sz w:val="24"/>
          <w:szCs w:val="24"/>
        </w:rPr>
        <w:t>Veikt pasākumus, lai motivētu uzņēmumus ražot produktus, kuri ir pietiekami izturīgi atkārtotai izmantošanai un pārstrādei, kā arī izmantot mazāk kaitīgus izejmateriālus, fokusējoties uz jūras un piekrastes piegružojumā biežāk sastopamiem izstrādājumiem.</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nepiegružošanas pasākumus īpaši aizsargājamās dabas teritorijās, t.sk. kampaņu “Dabā ejot, ko atnesi, to aiznes”.</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Veikt pētījumu, lai apzinātu </w:t>
      </w:r>
      <w:proofErr w:type="spellStart"/>
      <w:r w:rsidRPr="0078085B">
        <w:rPr>
          <w:rFonts w:ascii="Times New Roman" w:hAnsi="Times New Roman" w:cs="Times New Roman"/>
          <w:sz w:val="24"/>
          <w:szCs w:val="24"/>
        </w:rPr>
        <w:t>mikroplastmasas</w:t>
      </w:r>
      <w:proofErr w:type="spellEnd"/>
      <w:r w:rsidRPr="0078085B">
        <w:rPr>
          <w:rFonts w:ascii="Times New Roman" w:hAnsi="Times New Roman" w:cs="Times New Roman"/>
          <w:sz w:val="24"/>
          <w:szCs w:val="24"/>
        </w:rPr>
        <w:t xml:space="preserve"> lietošanu/ietekmes Latvijā</w:t>
      </w:r>
      <w:proofErr w:type="gramStart"/>
      <w:r w:rsidRPr="0078085B">
        <w:rPr>
          <w:rFonts w:ascii="Times New Roman" w:hAnsi="Times New Roman" w:cs="Times New Roman"/>
          <w:sz w:val="24"/>
          <w:szCs w:val="24"/>
        </w:rPr>
        <w:t xml:space="preserve"> un</w:t>
      </w:r>
      <w:proofErr w:type="gramEnd"/>
      <w:r w:rsidRPr="0078085B">
        <w:rPr>
          <w:rFonts w:ascii="Times New Roman" w:hAnsi="Times New Roman" w:cs="Times New Roman"/>
          <w:sz w:val="24"/>
          <w:szCs w:val="24"/>
        </w:rPr>
        <w:t xml:space="preserve"> pilnveidot normatīvo regulējumu, lai mazinātu ietekmi uz jūras vidi.</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brīvprātīgu vienošanos noslēgšanu ar mazumtirdzniecību, lai mazinātu plastmasas maisiņu patēriņu.</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Izveidot un ieviest dzērienu depozīta sistēmu un, kur iespējams, veicināt atkārtotas dzērienu pildīšanas sistēmas.</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Nodrošināt speciālu, tabakas izstrādājumiem paredzētu, atkritumu tvertņu izvietošanu publiskās vietās, kurās atļauts smēķēt, piemēram, pludmalēs un </w:t>
      </w:r>
      <w:proofErr w:type="spellStart"/>
      <w:r w:rsidRPr="0078085B">
        <w:rPr>
          <w:rFonts w:ascii="Times New Roman" w:hAnsi="Times New Roman" w:cs="Times New Roman"/>
          <w:sz w:val="24"/>
          <w:szCs w:val="24"/>
        </w:rPr>
        <w:t>ārtelpās</w:t>
      </w:r>
      <w:proofErr w:type="spellEnd"/>
      <w:r w:rsidRPr="0078085B">
        <w:rPr>
          <w:rFonts w:ascii="Times New Roman" w:hAnsi="Times New Roman" w:cs="Times New Roman"/>
          <w:sz w:val="24"/>
          <w:szCs w:val="24"/>
        </w:rPr>
        <w:t xml:space="preserve"> esošos restorānos, bāros, publiskās būvēs (iekšzemē un piekrastē, pludmalēs, uz prāmjiem).</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Izveidot platformu labai piekrastes sakopšanas praksei, tajā skaitā par pašvaldību un iedzīvotāju veikto pludmales un upju krastu attīrīšanu, kā arī jūras ūdeņu attīrīšanu, arī ostās, jahtu ostās un iekšzemes ūdeņos sadarbībā ar attiecīgajām nozarēm un institūcijām, tai skaitā, attīstīt labākās tehnoloģijas un metodes attīrīšanai no jūras un piekrastes piegružojuma.</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pasākumus attiecībā jūras piegružojuma, kas rodas uz sauszemes, mazināšanai, nodrošinot sanitāro infrastruktūru jūras piekrastē un iekšzemes dabas tūrisma objektos.</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Nodrošināt uz kuģa sašķiroto kuģu atkritumu (direktīvas 2019/883/ES izpratnē) dalīto pieņemšanu ostu atkritumu pieņemšanas iekārtās.</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 xml:space="preserve">Veicināt atkritumu savākšanu no atpūtas kuģiem jahtu ostās (piemēram, atbilstoši </w:t>
      </w:r>
      <w:proofErr w:type="spellStart"/>
      <w:r w:rsidRPr="0078085B">
        <w:rPr>
          <w:rFonts w:ascii="Times New Roman" w:hAnsi="Times New Roman" w:cs="Times New Roman"/>
          <w:sz w:val="24"/>
          <w:szCs w:val="24"/>
        </w:rPr>
        <w:t>ekosertifikāta</w:t>
      </w:r>
      <w:proofErr w:type="spellEnd"/>
      <w:r w:rsidRPr="0078085B">
        <w:rPr>
          <w:rFonts w:ascii="Times New Roman" w:hAnsi="Times New Roman" w:cs="Times New Roman"/>
          <w:sz w:val="24"/>
          <w:szCs w:val="24"/>
        </w:rPr>
        <w:t xml:space="preserve"> “Zilais Karogs” prasībām atkritumu pieņemšanai un apsaimniekošanai jahtu ostās).</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Uzlabot ES regulas 1224/2009</w:t>
      </w:r>
      <w:r w:rsidRPr="0078085B">
        <w:rPr>
          <w:rStyle w:val="FootnoteReference"/>
          <w:rFonts w:ascii="Times New Roman" w:hAnsi="Times New Roman" w:cs="Times New Roman"/>
          <w:sz w:val="24"/>
          <w:szCs w:val="24"/>
        </w:rPr>
        <w:footnoteReference w:id="7"/>
      </w:r>
      <w:r w:rsidRPr="0078085B">
        <w:rPr>
          <w:rFonts w:ascii="Times New Roman" w:hAnsi="Times New Roman" w:cs="Times New Roman"/>
          <w:sz w:val="24"/>
          <w:szCs w:val="24"/>
        </w:rPr>
        <w:t xml:space="preserve"> ieviešanu attiecībā uz ziņošanu par pazaudētajiem tīkliem un pazaudēto zvejas rīku atgūšanu.</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Veikt pētījumu par zvejniecības, akvakultūras un kuģniecības darbību rezultātā radīto plastmasas atkritumu apjomiem un par ekonomiskajiem instrumentiem šādu atkritumu atkārtotas izmantošanas un pārstrādes veicināšanai.</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pazudušo zvejas tīklu izcelšanu.</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izglītojošus pasākumus par jūras piegružošanu sinerģijā ar citiem pasākumiem ilgtspējīgas attīstības jomā un sadarbībā ar sabiedrību (t.sk. saistībā ar atkritumu rašanās novēršanu un ilgtspējīga patēriņa un ražošanas veicināšanu).</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mācību programmas, citu starpā ietverot rekreācijas sektoru (piemērām, niršanas un burāšanas skolas), kuru ietvaros tiek attīstīta apziņa, izpratne un respekts pret jūras vidi.</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Atbalstīt piedalīšanos starptautiskajos, ES, Baltijas jūras reģionālajos un nacionālajos procesos un iniciatīvās jūras piegružojuma novēršanai un mazināšanai.</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Turpināt un pilnveidot “Vides izglītības fonda” īstenoto kampaņu “Mana jūra” pludmales atkritumu monitoringam, stāvokļa novērtēšanai un sabiedrības līdzdalības veicināšanai.</w:t>
      </w:r>
    </w:p>
    <w:p w:rsidR="006B7C56" w:rsidRPr="0078085B" w:rsidRDefault="006B7C56" w:rsidP="006B7C56">
      <w:pPr>
        <w:pStyle w:val="Mans"/>
        <w:numPr>
          <w:ilvl w:val="0"/>
          <w:numId w:val="10"/>
        </w:numPr>
        <w:ind w:left="1418"/>
        <w:rPr>
          <w:rFonts w:ascii="Times New Roman" w:hAnsi="Times New Roman" w:cs="Times New Roman"/>
          <w:sz w:val="24"/>
          <w:szCs w:val="24"/>
        </w:rPr>
      </w:pPr>
      <w:r w:rsidRPr="0078085B">
        <w:rPr>
          <w:rFonts w:ascii="Times New Roman" w:hAnsi="Times New Roman" w:cs="Times New Roman"/>
          <w:sz w:val="24"/>
          <w:szCs w:val="24"/>
        </w:rPr>
        <w:t>Veicināt sabiedrības apziņu, tajā skaitā izmantojot informatīvās kampaņas bērniem, jauniešiem un patērētajiem par jūras piegružojuma rašanos un novēršanu (piemēram, par ēdienu un dzērienu iepakojuma vai plastmasas maisiņu savākšanu pēc izlietošanas), ņemot vērā jau pieejamos informatīvos materiālus un</w:t>
      </w:r>
      <w:proofErr w:type="gramStart"/>
      <w:r w:rsidRPr="0078085B">
        <w:rPr>
          <w:rFonts w:ascii="Times New Roman" w:hAnsi="Times New Roman" w:cs="Times New Roman"/>
          <w:sz w:val="24"/>
          <w:szCs w:val="24"/>
        </w:rPr>
        <w:t xml:space="preserve"> izmantojot grafiskos materiālus</w:t>
      </w:r>
      <w:proofErr w:type="gramEnd"/>
      <w:r w:rsidRPr="0078085B">
        <w:rPr>
          <w:rFonts w:ascii="Times New Roman" w:hAnsi="Times New Roman" w:cs="Times New Roman"/>
          <w:sz w:val="24"/>
          <w:szCs w:val="24"/>
        </w:rPr>
        <w:t>, tai skaitā, pludmales zonās.</w:t>
      </w:r>
    </w:p>
    <w:p w:rsidR="006B7C56" w:rsidRPr="0078085B" w:rsidRDefault="006B7C56" w:rsidP="006B7C56">
      <w:pPr>
        <w:pStyle w:val="Mans"/>
        <w:numPr>
          <w:ilvl w:val="0"/>
          <w:numId w:val="8"/>
        </w:numPr>
        <w:rPr>
          <w:rFonts w:ascii="Times New Roman" w:hAnsi="Times New Roman" w:cs="Times New Roman"/>
          <w:sz w:val="24"/>
          <w:szCs w:val="24"/>
        </w:rPr>
      </w:pPr>
      <w:r w:rsidRPr="0078085B">
        <w:rPr>
          <w:rFonts w:ascii="Times New Roman" w:hAnsi="Times New Roman" w:cs="Times New Roman"/>
          <w:sz w:val="24"/>
          <w:szCs w:val="24"/>
        </w:rPr>
        <w:t>“Vides politikas pamatnostādņu 2021.-</w:t>
      </w:r>
      <w:proofErr w:type="gramStart"/>
      <w:r w:rsidRPr="0078085B">
        <w:rPr>
          <w:rFonts w:ascii="Times New Roman" w:hAnsi="Times New Roman" w:cs="Times New Roman"/>
          <w:sz w:val="24"/>
          <w:szCs w:val="24"/>
        </w:rPr>
        <w:t>2027.gadam</w:t>
      </w:r>
      <w:proofErr w:type="gramEnd"/>
      <w:r w:rsidRPr="0078085B">
        <w:rPr>
          <w:rFonts w:ascii="Times New Roman" w:hAnsi="Times New Roman" w:cs="Times New Roman"/>
          <w:sz w:val="24"/>
          <w:szCs w:val="24"/>
        </w:rPr>
        <w:t>” pasākumi 36.rīcības virzienā “</w:t>
      </w:r>
      <w:r w:rsidRPr="0078085B">
        <w:rPr>
          <w:rFonts w:ascii="Times New Roman" w:hAnsi="Times New Roman" w:cs="Times New Roman"/>
          <w:bCs/>
          <w:color w:val="000000"/>
          <w:sz w:val="24"/>
          <w:szCs w:val="24"/>
        </w:rPr>
        <w:t>Nodrošināt  atkritumu pieņemšanu no kuģiem ostās”, 39.rīcības virzienā “Jūras atkritumu samazināšana”, 40.rīcības virzienā “Jūru piesārņojošo atkritumu problēmas mazināšana, izmantojot labākās pieejamās prakses”.</w:t>
      </w:r>
    </w:p>
    <w:p w:rsidR="006B7C56" w:rsidRPr="0078085B" w:rsidRDefault="006B7C56" w:rsidP="006B7C56">
      <w:pPr>
        <w:rPr>
          <w:rFonts w:ascii="Times New Roman" w:hAnsi="Times New Roman" w:cs="Times New Roman"/>
          <w:sz w:val="24"/>
          <w:szCs w:val="24"/>
        </w:rPr>
      </w:pPr>
    </w:p>
    <w:p w:rsidR="00E865B0" w:rsidRPr="0078085B" w:rsidRDefault="00E865B0" w:rsidP="00E865B0">
      <w:pPr>
        <w:jc w:val="both"/>
        <w:rPr>
          <w:rFonts w:ascii="Times New Roman" w:hAnsi="Times New Roman" w:cs="Times New Roman"/>
          <w:b/>
          <w:color w:val="0070C0"/>
          <w:sz w:val="24"/>
          <w:szCs w:val="24"/>
        </w:rPr>
      </w:pPr>
    </w:p>
    <w:sectPr w:rsidR="00E865B0" w:rsidRPr="0078085B" w:rsidSect="005E45DE">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08" w:rsidRDefault="006B3208" w:rsidP="006B7C56">
      <w:pPr>
        <w:spacing w:after="0" w:line="240" w:lineRule="auto"/>
      </w:pPr>
      <w:r>
        <w:separator/>
      </w:r>
    </w:p>
  </w:endnote>
  <w:endnote w:type="continuationSeparator" w:id="0">
    <w:p w:rsidR="006B3208" w:rsidRDefault="006B3208" w:rsidP="006B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DE" w:rsidRDefault="005E45DE" w:rsidP="005E45DE">
    <w:pPr>
      <w:pStyle w:val="Footer"/>
      <w:rPr>
        <w:sz w:val="20"/>
      </w:rPr>
    </w:pPr>
    <w:r>
      <w:rPr>
        <w:rFonts w:ascii="Times New Roman" w:hAnsi="Times New Roman" w:cs="Times New Roman"/>
        <w:sz w:val="20"/>
      </w:rPr>
      <w:t>Pasākumu programma laba jūras vides stāvokļa panākšanai 2022.-2027. gadā.</w:t>
    </w:r>
  </w:p>
  <w:p w:rsidR="005E45DE" w:rsidRDefault="005E4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DE" w:rsidRDefault="005E45DE" w:rsidP="005E45DE">
    <w:pPr>
      <w:pStyle w:val="Footer"/>
      <w:rPr>
        <w:sz w:val="20"/>
      </w:rPr>
    </w:pPr>
    <w:r>
      <w:rPr>
        <w:rFonts w:ascii="Times New Roman" w:hAnsi="Times New Roman" w:cs="Times New Roman"/>
        <w:sz w:val="20"/>
      </w:rPr>
      <w:t>Pasākumu programma laba jūras vides stāvokļa panākšanai 2022.-2027. gadā.</w:t>
    </w:r>
  </w:p>
  <w:p w:rsidR="005E45DE" w:rsidRDefault="005E4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08" w:rsidRDefault="006B3208" w:rsidP="006B7C56">
      <w:pPr>
        <w:spacing w:after="0" w:line="240" w:lineRule="auto"/>
      </w:pPr>
      <w:r>
        <w:separator/>
      </w:r>
    </w:p>
  </w:footnote>
  <w:footnote w:type="continuationSeparator" w:id="0">
    <w:p w:rsidR="006B3208" w:rsidRDefault="006B3208" w:rsidP="006B7C56">
      <w:pPr>
        <w:spacing w:after="0" w:line="240" w:lineRule="auto"/>
      </w:pPr>
      <w:r>
        <w:continuationSeparator/>
      </w:r>
    </w:p>
  </w:footnote>
  <w:footnote w:id="1">
    <w:p w:rsidR="006B7C56" w:rsidRDefault="006B7C56">
      <w:pPr>
        <w:pStyle w:val="FootnoteText"/>
      </w:pPr>
      <w:r>
        <w:rPr>
          <w:rStyle w:val="FootnoteReference"/>
        </w:rPr>
        <w:footnoteRef/>
      </w:r>
      <w:r>
        <w:t xml:space="preserve"> Pieejams </w:t>
      </w:r>
      <w:r w:rsidRPr="006B7C56">
        <w:t>https://www.varam.gov.lv/lv/ejzf-projekts-zinasanu-uzlabosana-</w:t>
      </w:r>
      <w:proofErr w:type="gramStart"/>
      <w:r w:rsidRPr="006B7C56">
        <w:t>juras</w:t>
      </w:r>
      <w:proofErr w:type="gramEnd"/>
      <w:r w:rsidRPr="006B7C56">
        <w:t>-vides-stavokla-joma</w:t>
      </w:r>
    </w:p>
  </w:footnote>
  <w:footnote w:id="2">
    <w:p w:rsidR="006B7C56" w:rsidRPr="00FA2F9A" w:rsidRDefault="006B7C56" w:rsidP="006B7C56">
      <w:pPr>
        <w:pStyle w:val="Mans"/>
        <w:rPr>
          <w:rFonts w:cstheme="minorHAnsi"/>
          <w:color w:val="000000"/>
          <w:sz w:val="20"/>
        </w:rPr>
      </w:pPr>
      <w:r w:rsidRPr="00FA2F9A">
        <w:rPr>
          <w:rStyle w:val="FootnoteReference"/>
          <w:rFonts w:cstheme="minorHAnsi"/>
          <w:sz w:val="20"/>
        </w:rPr>
        <w:footnoteRef/>
      </w:r>
      <w:r w:rsidRPr="00FA2F9A">
        <w:rPr>
          <w:rFonts w:cstheme="minorHAnsi"/>
          <w:sz w:val="20"/>
        </w:rPr>
        <w:t xml:space="preserve"> Stratēģija nosaka prasību par aizsargājamām noteikt vismaz 30% jūras teritorijas un stingri aizsargāt vismaz vienu trešdaļu aizsargājamo teritoriju, t.i. 10% jūras teritorijas. Stratēģija nosaka, ka tiks izstrādāts </w:t>
      </w:r>
      <w:r w:rsidRPr="00FA2F9A">
        <w:rPr>
          <w:rFonts w:cstheme="minorHAnsi"/>
          <w:bCs/>
          <w:sz w:val="20"/>
        </w:rPr>
        <w:t>ES Dabas atjaunošanas plāns, tajā skaitā,</w:t>
      </w:r>
      <w:r w:rsidRPr="00FA2F9A">
        <w:rPr>
          <w:rFonts w:cstheme="minorHAnsi"/>
          <w:sz w:val="20"/>
        </w:rPr>
        <w:t xml:space="preserve"> tiks noteikti </w:t>
      </w:r>
      <w:r w:rsidRPr="00FA2F9A">
        <w:rPr>
          <w:rFonts w:cstheme="minorHAnsi"/>
          <w:color w:val="000000"/>
          <w:sz w:val="20"/>
        </w:rPr>
        <w:t>juridiski saistoši ES</w:t>
      </w:r>
      <w:r w:rsidRPr="00FA2F9A">
        <w:rPr>
          <w:rFonts w:cstheme="minorHAnsi"/>
          <w:bCs/>
          <w:color w:val="000000"/>
          <w:sz w:val="20"/>
        </w:rPr>
        <w:t xml:space="preserve"> </w:t>
      </w:r>
      <w:r w:rsidRPr="00FA2F9A">
        <w:rPr>
          <w:rFonts w:cstheme="minorHAnsi"/>
          <w:bCs/>
          <w:sz w:val="20"/>
        </w:rPr>
        <w:t xml:space="preserve">dabas atjaunošanas </w:t>
      </w:r>
      <w:proofErr w:type="spellStart"/>
      <w:r w:rsidRPr="00FA2F9A">
        <w:rPr>
          <w:rFonts w:cstheme="minorHAnsi"/>
          <w:bCs/>
          <w:sz w:val="20"/>
        </w:rPr>
        <w:t>mērķrādītāji</w:t>
      </w:r>
      <w:proofErr w:type="spellEnd"/>
      <w:r w:rsidRPr="00FA2F9A">
        <w:rPr>
          <w:rFonts w:cstheme="minorHAnsi"/>
          <w:color w:val="000000"/>
          <w:sz w:val="20"/>
        </w:rPr>
        <w:t>.</w:t>
      </w:r>
    </w:p>
  </w:footnote>
  <w:footnote w:id="3">
    <w:p w:rsidR="006B7C56" w:rsidRPr="00FA2F9A" w:rsidRDefault="006B7C56" w:rsidP="006B7C56">
      <w:pPr>
        <w:pStyle w:val="Mans"/>
        <w:rPr>
          <w:sz w:val="20"/>
        </w:rPr>
      </w:pPr>
      <w:r w:rsidRPr="00FA2F9A">
        <w:rPr>
          <w:rStyle w:val="FootnoteReference"/>
          <w:sz w:val="20"/>
        </w:rPr>
        <w:footnoteRef/>
      </w:r>
      <w:r w:rsidRPr="00FA2F9A">
        <w:rPr>
          <w:sz w:val="20"/>
        </w:rPr>
        <w:t xml:space="preserve"> HELCOM (2021) Baltic </w:t>
      </w:r>
      <w:proofErr w:type="spellStart"/>
      <w:r w:rsidRPr="00FA2F9A">
        <w:rPr>
          <w:sz w:val="20"/>
        </w:rPr>
        <w:t>Sea</w:t>
      </w:r>
      <w:proofErr w:type="spellEnd"/>
      <w:r w:rsidRPr="00FA2F9A">
        <w:rPr>
          <w:sz w:val="20"/>
        </w:rPr>
        <w:t xml:space="preserve"> </w:t>
      </w:r>
      <w:proofErr w:type="spellStart"/>
      <w:r w:rsidRPr="00FA2F9A">
        <w:rPr>
          <w:sz w:val="20"/>
        </w:rPr>
        <w:t>Action</w:t>
      </w:r>
      <w:proofErr w:type="spellEnd"/>
      <w:r w:rsidRPr="00FA2F9A">
        <w:rPr>
          <w:sz w:val="20"/>
        </w:rPr>
        <w:t xml:space="preserve"> </w:t>
      </w:r>
      <w:proofErr w:type="spellStart"/>
      <w:r w:rsidRPr="00FA2F9A">
        <w:rPr>
          <w:sz w:val="20"/>
        </w:rPr>
        <w:t>Plan</w:t>
      </w:r>
      <w:proofErr w:type="spellEnd"/>
      <w:r w:rsidRPr="00FA2F9A">
        <w:rPr>
          <w:sz w:val="20"/>
        </w:rPr>
        <w:t xml:space="preserve">: 2021 </w:t>
      </w:r>
      <w:proofErr w:type="spellStart"/>
      <w:r w:rsidRPr="00FA2F9A">
        <w:rPr>
          <w:sz w:val="20"/>
        </w:rPr>
        <w:t>update</w:t>
      </w:r>
      <w:proofErr w:type="spellEnd"/>
      <w:r w:rsidRPr="00FA2F9A">
        <w:rPr>
          <w:sz w:val="20"/>
        </w:rPr>
        <w:t>.</w:t>
      </w:r>
    </w:p>
  </w:footnote>
  <w:footnote w:id="4">
    <w:p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bCs/>
          <w:sz w:val="20"/>
        </w:rPr>
        <w:t xml:space="preserve">Eiropas Parlamenta un Padomes Regula (ES) 2019/1241 (2019. gada 20. jūnijs) </w:t>
      </w:r>
      <w:r w:rsidRPr="00FA2F9A">
        <w:rPr>
          <w:sz w:val="20"/>
        </w:rPr>
        <w:t xml:space="preserve">par zvejas resursu saglabāšanu un jūras ekosistēmu aizsardzību ar tehniskiem pasākumiem un ar ko groza Padomes Regulas (EK) Nr. 2019/2006, (EK) Nr. 1224/2009 un Eiropas Parlamenta un Padomes Regulas </w:t>
      </w:r>
      <w:proofErr w:type="gramStart"/>
      <w:r w:rsidRPr="00FA2F9A">
        <w:rPr>
          <w:sz w:val="20"/>
        </w:rPr>
        <w:t>(</w:t>
      </w:r>
      <w:proofErr w:type="gramEnd"/>
      <w:r w:rsidRPr="00FA2F9A">
        <w:rPr>
          <w:sz w:val="20"/>
        </w:rPr>
        <w:t>ES) Nr. 1380/2013, (ES) 2016/1139, (ES) 2018/973, (ES) 2019/472 un (ES) 2019/1022 un atceļ Padomes Regulas (EK) Nr. 894/97, (EK) Nr. 850/98, (EK) Nr. 2549/2000, (EK) Nr. 254/2002, (EK) Nr. 812/2004 un (EK) Nr. 2187/2005.</w:t>
      </w:r>
    </w:p>
  </w:footnote>
  <w:footnote w:id="5">
    <w:p w:rsidR="006B7C56" w:rsidRPr="00FA2F9A" w:rsidRDefault="006B7C56" w:rsidP="006B7C56">
      <w:pPr>
        <w:pStyle w:val="Mans"/>
        <w:rPr>
          <w:sz w:val="20"/>
        </w:rPr>
      </w:pPr>
      <w:r w:rsidRPr="00FA2F9A">
        <w:rPr>
          <w:rStyle w:val="FootnoteReference"/>
          <w:sz w:val="20"/>
        </w:rPr>
        <w:footnoteRef/>
      </w:r>
      <w:r w:rsidRPr="00FA2F9A">
        <w:rPr>
          <w:sz w:val="20"/>
        </w:rPr>
        <w:t xml:space="preserve"> Atbilstoši Eiropas Parlamenta un Padomes Direktīvai 2000/60/EK (</w:t>
      </w:r>
      <w:proofErr w:type="gramStart"/>
      <w:r w:rsidRPr="00FA2F9A">
        <w:rPr>
          <w:sz w:val="20"/>
        </w:rPr>
        <w:t>2000.gada</w:t>
      </w:r>
      <w:proofErr w:type="gramEnd"/>
      <w:r w:rsidRPr="00FA2F9A">
        <w:rPr>
          <w:sz w:val="20"/>
        </w:rPr>
        <w:t xml:space="preserve"> 23.oktobris), ar ko izveido sistēmu Kopienas rīcībai ūdens resursu politikas jomā.</w:t>
      </w:r>
    </w:p>
  </w:footnote>
  <w:footnote w:id="6">
    <w:p w:rsidR="006B7C56" w:rsidRPr="00FA2F9A" w:rsidRDefault="006B7C56" w:rsidP="006B7C56">
      <w:pPr>
        <w:pStyle w:val="Mans"/>
        <w:rPr>
          <w:sz w:val="20"/>
        </w:rPr>
      </w:pPr>
      <w:r w:rsidRPr="00FA2F9A">
        <w:rPr>
          <w:rStyle w:val="FootnoteReference"/>
          <w:sz w:val="20"/>
        </w:rPr>
        <w:footnoteRef/>
      </w:r>
      <w:r w:rsidRPr="00FA2F9A">
        <w:rPr>
          <w:sz w:val="20"/>
        </w:rPr>
        <w:t xml:space="preserve"> Tajā skaitā pasākumi sekojošu ES direktīvu prasību ieviešanai: Eiropas Parlamenta un Padomes </w:t>
      </w:r>
      <w:proofErr w:type="gramStart"/>
      <w:r w:rsidRPr="00FA2F9A">
        <w:rPr>
          <w:sz w:val="20"/>
        </w:rPr>
        <w:t>2018.gada</w:t>
      </w:r>
      <w:proofErr w:type="gramEnd"/>
      <w:r w:rsidRPr="00FA2F9A">
        <w:rPr>
          <w:sz w:val="20"/>
        </w:rPr>
        <w:t xml:space="preserve"> 30.maija Direktīva 2018/850/ES, ar ko groza Direktīvu 1999/31/EK par atkritumu poligoniem; Eiropas Parlamenta un Padomes 2018.gada 30.maija Direktīva 2018/851/ES, ar ko groza Direktīvu 2008/98 par atkritumiem; </w:t>
      </w:r>
      <w:r w:rsidRPr="00FA2F9A">
        <w:rPr>
          <w:rFonts w:asciiTheme="minorHAnsi" w:hAnsiTheme="minorHAnsi" w:cstheme="minorHAnsi"/>
          <w:color w:val="000000" w:themeColor="text1"/>
          <w:sz w:val="20"/>
        </w:rPr>
        <w:t xml:space="preserve">Eiropas Parlamenta un Padomes </w:t>
      </w:r>
      <w:r w:rsidRPr="00FA2F9A">
        <w:rPr>
          <w:rFonts w:asciiTheme="minorHAnsi" w:hAnsiTheme="minorHAnsi" w:cstheme="minorHAnsi"/>
          <w:sz w:val="20"/>
        </w:rPr>
        <w:t>Direktīva 2012/19/ES (2012.gada 4.jūlijs) par elektrisko un elektronisko iekārtu atkritumiem (EEIA).</w:t>
      </w:r>
    </w:p>
  </w:footnote>
  <w:footnote w:id="7">
    <w:p w:rsidR="006B7C56" w:rsidRPr="00FA2F9A" w:rsidRDefault="006B7C56" w:rsidP="006B7C56">
      <w:pPr>
        <w:pStyle w:val="Mans"/>
        <w:rPr>
          <w:sz w:val="20"/>
        </w:rPr>
      </w:pPr>
      <w:r w:rsidRPr="00FA2F9A">
        <w:rPr>
          <w:rStyle w:val="FootnoteReference"/>
          <w:sz w:val="20"/>
        </w:rPr>
        <w:footnoteRef/>
      </w:r>
      <w:r w:rsidRPr="00FA2F9A">
        <w:rPr>
          <w:sz w:val="20"/>
        </w:rPr>
        <w:t xml:space="preserve"> </w:t>
      </w:r>
      <w:r w:rsidRPr="00FA2F9A">
        <w:rPr>
          <w:sz w:val="18"/>
          <w:szCs w:val="18"/>
        </w:rPr>
        <w:t>Padomes Regula (EK) Nr. 1224/2009 (2009. gada 20. novembris),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373025"/>
      <w:docPartObj>
        <w:docPartGallery w:val="Page Numbers (Top of Page)"/>
        <w:docPartUnique/>
      </w:docPartObj>
    </w:sdtPr>
    <w:sdtEndPr>
      <w:rPr>
        <w:noProof/>
      </w:rPr>
    </w:sdtEndPr>
    <w:sdtContent>
      <w:p w:rsidR="005E45DE" w:rsidRDefault="005E45DE">
        <w:pPr>
          <w:pStyle w:val="Header"/>
          <w:jc w:val="center"/>
        </w:pPr>
        <w:r>
          <w:fldChar w:fldCharType="begin"/>
        </w:r>
        <w:r>
          <w:instrText xml:space="preserve"> PAGE   \* MERGEFORMAT </w:instrText>
        </w:r>
        <w:r>
          <w:fldChar w:fldCharType="separate"/>
        </w:r>
        <w:r w:rsidR="0078085B">
          <w:rPr>
            <w:noProof/>
          </w:rPr>
          <w:t>8</w:t>
        </w:r>
        <w:r>
          <w:rPr>
            <w:noProof/>
          </w:rPr>
          <w:fldChar w:fldCharType="end"/>
        </w:r>
      </w:p>
    </w:sdtContent>
  </w:sdt>
  <w:p w:rsidR="005E45DE" w:rsidRDefault="005E45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4577C"/>
    <w:multiLevelType w:val="hybridMultilevel"/>
    <w:tmpl w:val="FBB4E4B6"/>
    <w:lvl w:ilvl="0" w:tplc="04260003">
      <w:start w:val="1"/>
      <w:numFmt w:val="bullet"/>
      <w:lvlText w:val="o"/>
      <w:lvlJc w:val="left"/>
      <w:pPr>
        <w:ind w:left="1080" w:hanging="360"/>
      </w:pPr>
      <w:rPr>
        <w:rFonts w:ascii="Courier New" w:hAnsi="Courier New" w:cs="Courier New"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EB1522"/>
    <w:multiLevelType w:val="hybridMultilevel"/>
    <w:tmpl w:val="426E0A2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7D3FFE"/>
    <w:multiLevelType w:val="hybridMultilevel"/>
    <w:tmpl w:val="610A2D92"/>
    <w:lvl w:ilvl="0" w:tplc="77068B66">
      <w:start w:val="1"/>
      <w:numFmt w:val="bullet"/>
      <w:lvlText w:val="o"/>
      <w:lvlJc w:val="left"/>
      <w:pPr>
        <w:ind w:left="1080" w:hanging="360"/>
      </w:pPr>
      <w:rPr>
        <w:rFonts w:ascii="Courier New" w:hAnsi="Courier New" w:hint="default"/>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956760F"/>
    <w:multiLevelType w:val="hybridMultilevel"/>
    <w:tmpl w:val="6EECDABC"/>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8D79B3"/>
    <w:multiLevelType w:val="hybridMultilevel"/>
    <w:tmpl w:val="2A80F0AC"/>
    <w:lvl w:ilvl="0" w:tplc="A4A4A556">
      <w:start w:val="1"/>
      <w:numFmt w:val="bullet"/>
      <w:lvlText w:val="o"/>
      <w:lvlJc w:val="left"/>
      <w:pPr>
        <w:ind w:left="1080" w:hanging="360"/>
      </w:pPr>
      <w:rPr>
        <w:rFonts w:ascii="Courier New" w:hAnsi="Courier New" w:hint="default"/>
        <w:sz w:val="22"/>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0CD0F01"/>
    <w:multiLevelType w:val="hybridMultilevel"/>
    <w:tmpl w:val="A536913A"/>
    <w:lvl w:ilvl="0" w:tplc="754A3B5A">
      <w:start w:val="1"/>
      <w:numFmt w:val="bullet"/>
      <w:lvlText w:val=""/>
      <w:lvlJc w:val="left"/>
      <w:pPr>
        <w:ind w:left="720" w:hanging="360"/>
      </w:pPr>
      <w:rPr>
        <w:rFonts w:ascii="Symbol" w:hAnsi="Symbol" w:hint="default"/>
        <w:sz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670799"/>
    <w:multiLevelType w:val="hybridMultilevel"/>
    <w:tmpl w:val="5B8ED07C"/>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20E7A61"/>
    <w:multiLevelType w:val="hybridMultilevel"/>
    <w:tmpl w:val="79285F86"/>
    <w:lvl w:ilvl="0" w:tplc="30CEBC7C">
      <w:start w:val="1"/>
      <w:numFmt w:val="bullet"/>
      <w:lvlText w:val=""/>
      <w:lvlJc w:val="left"/>
      <w:pPr>
        <w:ind w:left="720" w:hanging="360"/>
      </w:pPr>
      <w:rPr>
        <w:rFonts w:ascii="Symbol" w:hAnsi="Symbol" w:hint="default"/>
        <w:sz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C652EC1"/>
    <w:multiLevelType w:val="hybridMultilevel"/>
    <w:tmpl w:val="A0C07CFE"/>
    <w:lvl w:ilvl="0" w:tplc="30CEBC7C">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D46DBF"/>
    <w:multiLevelType w:val="hybridMultilevel"/>
    <w:tmpl w:val="23C245C6"/>
    <w:lvl w:ilvl="0" w:tplc="754A3B5A">
      <w:start w:val="1"/>
      <w:numFmt w:val="bullet"/>
      <w:lvlText w:val=""/>
      <w:lvlJc w:val="left"/>
      <w:pPr>
        <w:ind w:left="1080" w:hanging="360"/>
      </w:pPr>
      <w:rPr>
        <w:rFonts w:ascii="Symbol" w:hAnsi="Symbol" w:hint="default"/>
        <w:sz w:val="16"/>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1"/>
  </w:num>
  <w:num w:numId="6">
    <w:abstractNumId w:val="5"/>
  </w:num>
  <w:num w:numId="7">
    <w:abstractNumId w:val="0"/>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B0"/>
    <w:rsid w:val="005E45DE"/>
    <w:rsid w:val="006B3208"/>
    <w:rsid w:val="006B7C56"/>
    <w:rsid w:val="0078085B"/>
    <w:rsid w:val="008274FC"/>
    <w:rsid w:val="00A56C55"/>
    <w:rsid w:val="00CB3FC7"/>
    <w:rsid w:val="00E15DC3"/>
    <w:rsid w:val="00E86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CD14C-CC79-4663-BAB3-F3E4E25D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s">
    <w:name w:val="Mans"/>
    <w:link w:val="MansChar"/>
    <w:qFormat/>
    <w:rsid w:val="006B7C56"/>
    <w:pPr>
      <w:spacing w:after="80" w:line="240" w:lineRule="auto"/>
      <w:jc w:val="both"/>
    </w:pPr>
    <w:rPr>
      <w:rFonts w:ascii="Calibri" w:hAnsi="Calibri"/>
      <w:szCs w:val="20"/>
    </w:rPr>
  </w:style>
  <w:style w:type="character" w:customStyle="1" w:styleId="MansChar">
    <w:name w:val="Mans Char"/>
    <w:basedOn w:val="DefaultParagraphFont"/>
    <w:link w:val="Mans"/>
    <w:rsid w:val="006B7C56"/>
    <w:rPr>
      <w:rFonts w:ascii="Calibri" w:hAnsi="Calibri"/>
      <w:szCs w:val="20"/>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6B7C56"/>
    <w:rPr>
      <w:vertAlign w:val="superscript"/>
    </w:rPr>
  </w:style>
  <w:style w:type="paragraph" w:customStyle="1" w:styleId="CharCharCharChar">
    <w:name w:val="Char Char Char Char"/>
    <w:aliases w:val="Char2"/>
    <w:basedOn w:val="Normal"/>
    <w:next w:val="Normal"/>
    <w:link w:val="FootnoteReference"/>
    <w:uiPriority w:val="99"/>
    <w:rsid w:val="006B7C56"/>
    <w:pPr>
      <w:widowControl w:val="0"/>
      <w:autoSpaceDE w:val="0"/>
      <w:autoSpaceDN w:val="0"/>
      <w:adjustRightInd w:val="0"/>
      <w:spacing w:line="240" w:lineRule="exact"/>
      <w:jc w:val="both"/>
      <w:textAlignment w:val="baseline"/>
    </w:pPr>
    <w:rPr>
      <w:vertAlign w:val="superscript"/>
    </w:rPr>
  </w:style>
  <w:style w:type="paragraph" w:customStyle="1" w:styleId="mans1">
    <w:name w:val="mans 1."/>
    <w:basedOn w:val="Normal"/>
    <w:link w:val="mans1Char"/>
    <w:qFormat/>
    <w:rsid w:val="006B7C56"/>
    <w:pPr>
      <w:spacing w:after="80" w:line="240" w:lineRule="auto"/>
      <w:jc w:val="both"/>
    </w:pPr>
    <w:rPr>
      <w:rFonts w:ascii="Calibri" w:eastAsia="Times New Roman" w:hAnsi="Calibri" w:cs="Times New Roman"/>
      <w:szCs w:val="24"/>
      <w:lang w:val="en-GB"/>
    </w:rPr>
  </w:style>
  <w:style w:type="character" w:customStyle="1" w:styleId="mans1Char">
    <w:name w:val="mans 1. Char"/>
    <w:link w:val="mans1"/>
    <w:rsid w:val="006B7C56"/>
    <w:rPr>
      <w:rFonts w:ascii="Calibri" w:eastAsia="Times New Roman" w:hAnsi="Calibri" w:cs="Times New Roman"/>
      <w:szCs w:val="24"/>
      <w:lang w:val="en-GB"/>
    </w:rPr>
  </w:style>
  <w:style w:type="character" w:styleId="Emphasis">
    <w:name w:val="Emphasis"/>
    <w:basedOn w:val="DefaultParagraphFont"/>
    <w:uiPriority w:val="20"/>
    <w:qFormat/>
    <w:rsid w:val="006B7C56"/>
    <w:rPr>
      <w:i/>
      <w:iCs/>
    </w:rPr>
  </w:style>
  <w:style w:type="character" w:customStyle="1" w:styleId="italics">
    <w:name w:val="italics"/>
    <w:basedOn w:val="DefaultParagraphFont"/>
    <w:rsid w:val="006B7C56"/>
  </w:style>
  <w:style w:type="character" w:customStyle="1" w:styleId="jlqj4b">
    <w:name w:val="jlqj4b"/>
    <w:basedOn w:val="DefaultParagraphFont"/>
    <w:rsid w:val="006B7C56"/>
  </w:style>
  <w:style w:type="paragraph" w:styleId="FootnoteText">
    <w:name w:val="footnote text"/>
    <w:basedOn w:val="Normal"/>
    <w:link w:val="FootnoteTextChar"/>
    <w:uiPriority w:val="99"/>
    <w:semiHidden/>
    <w:unhideWhenUsed/>
    <w:rsid w:val="006B7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C56"/>
    <w:rPr>
      <w:sz w:val="20"/>
      <w:szCs w:val="20"/>
    </w:rPr>
  </w:style>
  <w:style w:type="paragraph" w:styleId="Header">
    <w:name w:val="header"/>
    <w:basedOn w:val="Normal"/>
    <w:link w:val="HeaderChar"/>
    <w:uiPriority w:val="99"/>
    <w:unhideWhenUsed/>
    <w:rsid w:val="005E45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5DE"/>
  </w:style>
  <w:style w:type="paragraph" w:styleId="Footer">
    <w:name w:val="footer"/>
    <w:basedOn w:val="Normal"/>
    <w:link w:val="FooterChar"/>
    <w:uiPriority w:val="99"/>
    <w:unhideWhenUsed/>
    <w:rsid w:val="005E45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6042">
      <w:bodyDiv w:val="1"/>
      <w:marLeft w:val="0"/>
      <w:marRight w:val="0"/>
      <w:marTop w:val="0"/>
      <w:marBottom w:val="0"/>
      <w:divBdr>
        <w:top w:val="none" w:sz="0" w:space="0" w:color="auto"/>
        <w:left w:val="none" w:sz="0" w:space="0" w:color="auto"/>
        <w:bottom w:val="none" w:sz="0" w:space="0" w:color="auto"/>
        <w:right w:val="none" w:sz="0" w:space="0" w:color="auto"/>
      </w:divBdr>
    </w:div>
    <w:div w:id="10415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12987</Words>
  <Characters>7403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3</cp:revision>
  <dcterms:created xsi:type="dcterms:W3CDTF">2022-11-13T13:06:00Z</dcterms:created>
  <dcterms:modified xsi:type="dcterms:W3CDTF">2022-11-13T13:08:00Z</dcterms:modified>
</cp:coreProperties>
</file>