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4ADDA6" w14:textId="67310CC5" w:rsidR="001123A9" w:rsidRDefault="001123A9" w:rsidP="001123A9">
      <w:pPr>
        <w:jc w:val="right"/>
        <w:rPr>
          <w:b/>
          <w:bCs/>
        </w:rPr>
      </w:pPr>
      <w:bookmarkStart w:id="0" w:name="_Hlk192942371"/>
      <w:r>
        <w:rPr>
          <w:b/>
          <w:bCs/>
        </w:rPr>
        <w:t>15.pielikums</w:t>
      </w:r>
    </w:p>
    <w:p w14:paraId="1B20ABFE" w14:textId="3B12837B" w:rsidR="005D5384" w:rsidRPr="005D5384" w:rsidRDefault="005D5384" w:rsidP="005D5384">
      <w:pPr>
        <w:jc w:val="center"/>
        <w:rPr>
          <w:b/>
          <w:bCs/>
        </w:rPr>
      </w:pPr>
      <w:r w:rsidRPr="005D5384">
        <w:rPr>
          <w:b/>
          <w:bCs/>
        </w:rPr>
        <w:t>Saņemto atzinumu un  komentāru par ietekmes uz vidi novērtējuma Ziņojumu  par SIA “DSG Karjeri paredzēto darbību - derīgo izrakteņu (smilts-grants, smilts un mālsmilts) ieguve (turpmāk - Paredzētā darbība) atradnē “Vālodzes” apkopojums</w:t>
      </w:r>
    </w:p>
    <w:tbl>
      <w:tblPr>
        <w:tblStyle w:val="TableGrid"/>
        <w:tblW w:w="9621" w:type="dxa"/>
        <w:tblLayout w:type="fixed"/>
        <w:tblLook w:val="04A0" w:firstRow="1" w:lastRow="0" w:firstColumn="1" w:lastColumn="0" w:noHBand="0" w:noVBand="1"/>
      </w:tblPr>
      <w:tblGrid>
        <w:gridCol w:w="495"/>
        <w:gridCol w:w="2761"/>
        <w:gridCol w:w="1701"/>
        <w:gridCol w:w="4664"/>
      </w:tblGrid>
      <w:tr w:rsidR="0053506A" w:rsidRPr="00EA44FA" w14:paraId="1FB22BD3" w14:textId="77777777" w:rsidTr="0053506A">
        <w:tc>
          <w:tcPr>
            <w:tcW w:w="495" w:type="dxa"/>
          </w:tcPr>
          <w:p w14:paraId="4F72EA8B" w14:textId="77777777" w:rsidR="005D5384" w:rsidRPr="00EA44FA" w:rsidRDefault="005D5384" w:rsidP="007A090D">
            <w:pPr>
              <w:rPr>
                <w:rFonts w:ascii="Calibri" w:hAnsi="Calibri" w:cs="Calibri"/>
                <w:b/>
                <w:bCs/>
                <w:sz w:val="22"/>
                <w:szCs w:val="22"/>
              </w:rPr>
            </w:pPr>
            <w:r w:rsidRPr="00EA44FA">
              <w:rPr>
                <w:rFonts w:ascii="Calibri" w:hAnsi="Calibri" w:cs="Calibri"/>
                <w:b/>
                <w:bCs/>
                <w:sz w:val="22"/>
                <w:szCs w:val="22"/>
              </w:rPr>
              <w:t>Nr.</w:t>
            </w:r>
          </w:p>
        </w:tc>
        <w:tc>
          <w:tcPr>
            <w:tcW w:w="2761" w:type="dxa"/>
          </w:tcPr>
          <w:p w14:paraId="069CA3FA" w14:textId="5628126B" w:rsidR="005D5384" w:rsidRPr="00EA44FA" w:rsidRDefault="005D5384" w:rsidP="007A090D">
            <w:pPr>
              <w:rPr>
                <w:rFonts w:ascii="Calibri" w:hAnsi="Calibri" w:cs="Calibri"/>
                <w:b/>
                <w:bCs/>
                <w:sz w:val="22"/>
                <w:szCs w:val="22"/>
              </w:rPr>
            </w:pPr>
            <w:r w:rsidRPr="00EA44FA">
              <w:rPr>
                <w:rFonts w:ascii="Calibri" w:hAnsi="Calibri" w:cs="Calibri"/>
                <w:b/>
                <w:bCs/>
                <w:sz w:val="22"/>
                <w:szCs w:val="22"/>
              </w:rPr>
              <w:t>Izteiktais aizrādījums</w:t>
            </w:r>
          </w:p>
        </w:tc>
        <w:tc>
          <w:tcPr>
            <w:tcW w:w="1701" w:type="dxa"/>
          </w:tcPr>
          <w:p w14:paraId="424B5A41" w14:textId="77777777" w:rsidR="005D5384" w:rsidRPr="00EA44FA" w:rsidRDefault="005D5384" w:rsidP="007A090D">
            <w:pPr>
              <w:rPr>
                <w:rFonts w:ascii="Calibri" w:hAnsi="Calibri" w:cs="Calibri"/>
                <w:b/>
                <w:bCs/>
                <w:sz w:val="22"/>
                <w:szCs w:val="22"/>
              </w:rPr>
            </w:pPr>
            <w:r w:rsidRPr="00EA44FA">
              <w:rPr>
                <w:rFonts w:ascii="Calibri" w:hAnsi="Calibri" w:cs="Calibri"/>
                <w:b/>
                <w:bCs/>
                <w:sz w:val="22"/>
                <w:szCs w:val="22"/>
              </w:rPr>
              <w:t>Veiktās darbības</w:t>
            </w:r>
          </w:p>
        </w:tc>
        <w:tc>
          <w:tcPr>
            <w:tcW w:w="4664" w:type="dxa"/>
          </w:tcPr>
          <w:p w14:paraId="5FD23E70" w14:textId="77777777" w:rsidR="005D5384" w:rsidRPr="00EA44FA" w:rsidRDefault="005D5384" w:rsidP="007A090D">
            <w:pPr>
              <w:rPr>
                <w:rFonts w:ascii="Calibri" w:hAnsi="Calibri" w:cs="Calibri"/>
                <w:b/>
                <w:bCs/>
                <w:sz w:val="22"/>
                <w:szCs w:val="22"/>
              </w:rPr>
            </w:pPr>
            <w:r w:rsidRPr="00EA44FA">
              <w:rPr>
                <w:rFonts w:ascii="Calibri" w:hAnsi="Calibri" w:cs="Calibri"/>
                <w:b/>
                <w:bCs/>
                <w:sz w:val="22"/>
                <w:szCs w:val="22"/>
              </w:rPr>
              <w:t>Komentāri</w:t>
            </w:r>
          </w:p>
        </w:tc>
      </w:tr>
      <w:tr w:rsidR="005D5384" w:rsidRPr="00EA44FA" w14:paraId="7BDDFD09" w14:textId="77777777" w:rsidTr="0053506A">
        <w:tc>
          <w:tcPr>
            <w:tcW w:w="9621" w:type="dxa"/>
            <w:gridSpan w:val="4"/>
          </w:tcPr>
          <w:p w14:paraId="50E1A75A" w14:textId="00E67793" w:rsidR="005D5384" w:rsidRPr="00EA44FA" w:rsidRDefault="005D5384" w:rsidP="007A090D">
            <w:pPr>
              <w:rPr>
                <w:rFonts w:ascii="Calibri" w:hAnsi="Calibri" w:cs="Calibri"/>
                <w:b/>
                <w:bCs/>
                <w:sz w:val="22"/>
                <w:szCs w:val="22"/>
              </w:rPr>
            </w:pPr>
            <w:r w:rsidRPr="00EA44FA">
              <w:rPr>
                <w:rFonts w:ascii="Calibri" w:hAnsi="Calibri" w:cs="Calibri"/>
                <w:b/>
                <w:bCs/>
                <w:sz w:val="22"/>
                <w:szCs w:val="22"/>
              </w:rPr>
              <w:t>DAP  07.06.2024. vēstule Nr. 4.9/3533/2024-N</w:t>
            </w:r>
          </w:p>
        </w:tc>
      </w:tr>
      <w:tr w:rsidR="0053506A" w:rsidRPr="0053506A" w14:paraId="5FB4AC06" w14:textId="77777777" w:rsidTr="0053506A">
        <w:tc>
          <w:tcPr>
            <w:tcW w:w="495" w:type="dxa"/>
          </w:tcPr>
          <w:p w14:paraId="11480F07" w14:textId="18775EA5" w:rsidR="005D5384" w:rsidRPr="0053506A" w:rsidRDefault="005D5384" w:rsidP="007A090D">
            <w:pPr>
              <w:rPr>
                <w:rFonts w:ascii="Calibri" w:hAnsi="Calibri" w:cs="Calibri"/>
                <w:sz w:val="22"/>
                <w:szCs w:val="22"/>
              </w:rPr>
            </w:pPr>
            <w:r w:rsidRPr="0053506A">
              <w:rPr>
                <w:rFonts w:ascii="Calibri" w:hAnsi="Calibri" w:cs="Calibri"/>
                <w:sz w:val="22"/>
                <w:szCs w:val="22"/>
              </w:rPr>
              <w:t>1.</w:t>
            </w:r>
          </w:p>
        </w:tc>
        <w:tc>
          <w:tcPr>
            <w:tcW w:w="2761" w:type="dxa"/>
          </w:tcPr>
          <w:p w14:paraId="14753D10" w14:textId="2576167B" w:rsidR="005D5384" w:rsidRPr="0053506A" w:rsidRDefault="005D5384" w:rsidP="007A090D">
            <w:pPr>
              <w:rPr>
                <w:rFonts w:ascii="Calibri" w:hAnsi="Calibri" w:cs="Calibri"/>
                <w:sz w:val="22"/>
                <w:szCs w:val="22"/>
              </w:rPr>
            </w:pPr>
            <w:r w:rsidRPr="0053506A">
              <w:rPr>
                <w:rFonts w:ascii="Calibri" w:hAnsi="Calibri" w:cs="Calibri"/>
                <w:sz w:val="22"/>
                <w:szCs w:val="22"/>
              </w:rPr>
              <w:t xml:space="preserve">Biotopu eksperta atzinumā norādīts, ka Paredzētās darbības teritorijā atrodas mežsaimnieciskās darbības spēcīgi ietekmētas mežaudzes un nav konstatēti Eiropas Savienības nozīmes biotopi un īpaši aizsargājamās sugas, nav sagaidāma ietekme uz dabas vērtībām. Tuvākajā apkārtnē neatrodas no mitruma atkarīgi biotopi. Iepazīstoties ar dabas datu pārvaldības sistēmā “Ozols” esošo informāciju, tai skaitā Paredzētās darbības teritorijas meža nogabalu meža taksācijas datiem un </w:t>
            </w:r>
            <w:proofErr w:type="spellStart"/>
            <w:r w:rsidRPr="0053506A">
              <w:rPr>
                <w:rFonts w:ascii="Calibri" w:hAnsi="Calibri" w:cs="Calibri"/>
                <w:sz w:val="22"/>
                <w:szCs w:val="22"/>
              </w:rPr>
              <w:t>ortofoto</w:t>
            </w:r>
            <w:proofErr w:type="spellEnd"/>
            <w:r w:rsidRPr="0053506A">
              <w:rPr>
                <w:rFonts w:ascii="Calibri" w:hAnsi="Calibri" w:cs="Calibri"/>
                <w:sz w:val="22"/>
                <w:szCs w:val="22"/>
              </w:rPr>
              <w:t>, Pārvalde piekrīt biotopu eksperta atzinuma secinājumiem.</w:t>
            </w:r>
          </w:p>
        </w:tc>
        <w:tc>
          <w:tcPr>
            <w:tcW w:w="1701" w:type="dxa"/>
          </w:tcPr>
          <w:p w14:paraId="4F1ABA26" w14:textId="16C4A6A1" w:rsidR="005D5384" w:rsidRPr="0053506A" w:rsidRDefault="005D5384" w:rsidP="007A090D">
            <w:pPr>
              <w:rPr>
                <w:rFonts w:ascii="Calibri" w:hAnsi="Calibri" w:cs="Calibri"/>
                <w:sz w:val="22"/>
                <w:szCs w:val="22"/>
              </w:rPr>
            </w:pPr>
            <w:r w:rsidRPr="0053506A">
              <w:rPr>
                <w:rFonts w:ascii="Calibri" w:hAnsi="Calibri" w:cs="Calibri"/>
                <w:sz w:val="22"/>
                <w:szCs w:val="22"/>
              </w:rPr>
              <w:t>Nav nepieciešamas</w:t>
            </w:r>
          </w:p>
        </w:tc>
        <w:tc>
          <w:tcPr>
            <w:tcW w:w="4664" w:type="dxa"/>
          </w:tcPr>
          <w:p w14:paraId="73821035" w14:textId="77777777" w:rsidR="005D5384" w:rsidRPr="0053506A" w:rsidRDefault="005D5384" w:rsidP="007A090D">
            <w:pPr>
              <w:rPr>
                <w:rFonts w:ascii="Calibri" w:hAnsi="Calibri" w:cs="Calibri"/>
                <w:sz w:val="22"/>
                <w:szCs w:val="22"/>
              </w:rPr>
            </w:pPr>
          </w:p>
        </w:tc>
      </w:tr>
      <w:tr w:rsidR="005D5384" w:rsidRPr="0053506A" w14:paraId="60BFC998" w14:textId="77777777" w:rsidTr="0053506A">
        <w:tc>
          <w:tcPr>
            <w:tcW w:w="495" w:type="dxa"/>
          </w:tcPr>
          <w:p w14:paraId="75C8AE98" w14:textId="023B15B6" w:rsidR="005D5384" w:rsidRPr="0053506A" w:rsidRDefault="005D5384" w:rsidP="007A090D">
            <w:pPr>
              <w:rPr>
                <w:rFonts w:ascii="Calibri" w:hAnsi="Calibri" w:cs="Calibri"/>
                <w:sz w:val="22"/>
                <w:szCs w:val="22"/>
              </w:rPr>
            </w:pPr>
            <w:r w:rsidRPr="0053506A">
              <w:rPr>
                <w:rFonts w:ascii="Calibri" w:hAnsi="Calibri" w:cs="Calibri"/>
                <w:sz w:val="22"/>
                <w:szCs w:val="22"/>
              </w:rPr>
              <w:t>2.</w:t>
            </w:r>
          </w:p>
        </w:tc>
        <w:tc>
          <w:tcPr>
            <w:tcW w:w="2761" w:type="dxa"/>
          </w:tcPr>
          <w:p w14:paraId="11DDCDF9" w14:textId="52836AD4" w:rsidR="005D5384" w:rsidRPr="0053506A" w:rsidRDefault="005D5384" w:rsidP="005D5384">
            <w:pPr>
              <w:rPr>
                <w:rFonts w:ascii="Calibri" w:hAnsi="Calibri" w:cs="Calibri"/>
                <w:sz w:val="22"/>
                <w:szCs w:val="22"/>
              </w:rPr>
            </w:pPr>
            <w:r w:rsidRPr="0053506A">
              <w:rPr>
                <w:rFonts w:ascii="Calibri" w:hAnsi="Calibri" w:cs="Calibri"/>
                <w:sz w:val="22"/>
                <w:szCs w:val="22"/>
              </w:rPr>
              <w:t xml:space="preserve">Jautājumā par ietekmi uz putniem, Pārvalde atzinīgi vērtē IVN ziņojuma 12. nodaļā “Paredzētie pasākumi ietekmju uz vidi mazināšanai” iekļauto nosacījumu, lai mazinātu trokšņa traucējumus: “Pa paredzētās darbības teritorijas perimetru izveidos augsnes vaļņus, kas būtiski samazina trokšņa izplatību ārpus teritorijas”. Šis pasākums var arī palīdzēt mazināt ietekmi uz putnu sugām, kas ir jutīgas pret trokšņa traucējumu. </w:t>
            </w:r>
          </w:p>
          <w:p w14:paraId="2EDEF7E1" w14:textId="05339703" w:rsidR="005D5384" w:rsidRPr="0053506A" w:rsidRDefault="005D5384" w:rsidP="005D5384">
            <w:pPr>
              <w:rPr>
                <w:rFonts w:ascii="Calibri" w:hAnsi="Calibri" w:cs="Calibri"/>
                <w:sz w:val="22"/>
                <w:szCs w:val="22"/>
              </w:rPr>
            </w:pPr>
            <w:r w:rsidRPr="0053506A">
              <w:rPr>
                <w:rFonts w:ascii="Calibri" w:hAnsi="Calibri" w:cs="Calibri"/>
                <w:sz w:val="22"/>
                <w:szCs w:val="22"/>
              </w:rPr>
              <w:lastRenderedPageBreak/>
              <w:t xml:space="preserve">Tomēr Pārvalde norāda, ka IVN ziņojuma 12.nodaļā šobrīd nav iekļauts putnu eksperta atzinumā norādītais nosacījums: “atmežošanas, apauguma/veģetācijas, zemes virskārtas novākšanas darbi veicami laika posmā no 1. jūlija līdz 31. martam”. Lūdzam papildināt Ziņojumu ar šo nosacījumu.  </w:t>
            </w:r>
          </w:p>
        </w:tc>
        <w:tc>
          <w:tcPr>
            <w:tcW w:w="1701" w:type="dxa"/>
          </w:tcPr>
          <w:p w14:paraId="3AD8338D" w14:textId="28218F71" w:rsidR="005D5384" w:rsidRPr="0053506A" w:rsidRDefault="005D5384" w:rsidP="007A090D">
            <w:pPr>
              <w:rPr>
                <w:rFonts w:ascii="Calibri" w:hAnsi="Calibri" w:cs="Calibri"/>
                <w:sz w:val="22"/>
                <w:szCs w:val="22"/>
              </w:rPr>
            </w:pPr>
            <w:r w:rsidRPr="0053506A">
              <w:rPr>
                <w:rFonts w:ascii="Calibri" w:hAnsi="Calibri" w:cs="Calibri"/>
                <w:sz w:val="22"/>
                <w:szCs w:val="22"/>
              </w:rPr>
              <w:lastRenderedPageBreak/>
              <w:t>Pilnveidota IVN Ziņojuma 12.sadaļa</w:t>
            </w:r>
          </w:p>
        </w:tc>
        <w:tc>
          <w:tcPr>
            <w:tcW w:w="4664" w:type="dxa"/>
          </w:tcPr>
          <w:p w14:paraId="133E86A3" w14:textId="77777777" w:rsidR="005D5384" w:rsidRPr="0053506A" w:rsidRDefault="005D5384" w:rsidP="007A090D">
            <w:pPr>
              <w:rPr>
                <w:rFonts w:ascii="Calibri" w:hAnsi="Calibri" w:cs="Calibri"/>
                <w:sz w:val="22"/>
                <w:szCs w:val="22"/>
              </w:rPr>
            </w:pPr>
          </w:p>
        </w:tc>
      </w:tr>
      <w:tr w:rsidR="005F7BA0" w:rsidRPr="00EA44FA" w14:paraId="7CDC853A" w14:textId="77777777" w:rsidTr="0053506A">
        <w:tc>
          <w:tcPr>
            <w:tcW w:w="9621" w:type="dxa"/>
            <w:gridSpan w:val="4"/>
          </w:tcPr>
          <w:p w14:paraId="4CFC0F1C" w14:textId="521A9EE9" w:rsidR="005F7BA0" w:rsidRPr="00EA44FA" w:rsidRDefault="005F7BA0" w:rsidP="007A090D">
            <w:pPr>
              <w:rPr>
                <w:rFonts w:ascii="Calibri" w:hAnsi="Calibri" w:cs="Calibri"/>
                <w:b/>
                <w:bCs/>
                <w:sz w:val="22"/>
                <w:szCs w:val="22"/>
              </w:rPr>
            </w:pPr>
            <w:r w:rsidRPr="00EA44FA">
              <w:rPr>
                <w:rFonts w:ascii="Calibri" w:hAnsi="Calibri" w:cs="Calibri"/>
                <w:b/>
                <w:bCs/>
                <w:sz w:val="22"/>
                <w:szCs w:val="22"/>
              </w:rPr>
              <w:t>VVD 16.07.2024. vēstule Nr.2.3/AP/7659/2024</w:t>
            </w:r>
          </w:p>
        </w:tc>
      </w:tr>
      <w:tr w:rsidR="005D5384" w:rsidRPr="0053506A" w14:paraId="7641C04B" w14:textId="77777777" w:rsidTr="0053506A">
        <w:tc>
          <w:tcPr>
            <w:tcW w:w="495" w:type="dxa"/>
          </w:tcPr>
          <w:p w14:paraId="32EFFD07" w14:textId="2B07D99D" w:rsidR="005D5384" w:rsidRPr="0053506A" w:rsidRDefault="005F7BA0" w:rsidP="007A090D">
            <w:pPr>
              <w:rPr>
                <w:rFonts w:ascii="Calibri" w:hAnsi="Calibri" w:cs="Calibri"/>
                <w:sz w:val="22"/>
                <w:szCs w:val="22"/>
              </w:rPr>
            </w:pPr>
            <w:r w:rsidRPr="0053506A">
              <w:rPr>
                <w:rFonts w:ascii="Calibri" w:hAnsi="Calibri" w:cs="Calibri"/>
                <w:sz w:val="22"/>
                <w:szCs w:val="22"/>
              </w:rPr>
              <w:t>1.</w:t>
            </w:r>
          </w:p>
        </w:tc>
        <w:tc>
          <w:tcPr>
            <w:tcW w:w="2761" w:type="dxa"/>
          </w:tcPr>
          <w:p w14:paraId="3BCAD23B" w14:textId="78774CDC" w:rsidR="005D5384" w:rsidRPr="0053506A" w:rsidRDefault="005F7BA0" w:rsidP="007A090D">
            <w:pPr>
              <w:rPr>
                <w:rFonts w:ascii="Calibri" w:hAnsi="Calibri" w:cs="Calibri"/>
                <w:sz w:val="22"/>
                <w:szCs w:val="22"/>
              </w:rPr>
            </w:pPr>
            <w:r w:rsidRPr="0053506A">
              <w:rPr>
                <w:rFonts w:ascii="Calibri" w:hAnsi="Calibri" w:cs="Calibri"/>
                <w:sz w:val="22"/>
                <w:szCs w:val="22"/>
              </w:rPr>
              <w:t xml:space="preserve">Ziņojuma 4.1. </w:t>
            </w:r>
            <w:proofErr w:type="spellStart"/>
            <w:r w:rsidRPr="0053506A">
              <w:rPr>
                <w:rFonts w:ascii="Calibri" w:hAnsi="Calibri" w:cs="Calibri"/>
                <w:sz w:val="22"/>
                <w:szCs w:val="22"/>
              </w:rPr>
              <w:t>apakšsadaļā</w:t>
            </w:r>
            <w:proofErr w:type="spellEnd"/>
            <w:r w:rsidRPr="0053506A">
              <w:rPr>
                <w:rFonts w:ascii="Calibri" w:hAnsi="Calibri" w:cs="Calibri"/>
                <w:sz w:val="22"/>
                <w:szCs w:val="22"/>
              </w:rPr>
              <w:t xml:space="preserve"> “Pamatinformācija par paredzēto darbību” (24. lpp.) tiek norādīts, ka ieguves tehnikas </w:t>
            </w:r>
            <w:proofErr w:type="spellStart"/>
            <w:r w:rsidRPr="0053506A">
              <w:rPr>
                <w:rFonts w:ascii="Calibri" w:hAnsi="Calibri" w:cs="Calibri"/>
                <w:sz w:val="22"/>
                <w:szCs w:val="22"/>
              </w:rPr>
              <w:t>uzpilde</w:t>
            </w:r>
            <w:proofErr w:type="spellEnd"/>
            <w:r w:rsidRPr="0053506A">
              <w:rPr>
                <w:rFonts w:ascii="Calibri" w:hAnsi="Calibri" w:cs="Calibri"/>
                <w:sz w:val="22"/>
                <w:szCs w:val="22"/>
              </w:rPr>
              <w:t xml:space="preserve"> ar degvielu paredzēta no benzīna cisternas, kas ir stacionāra atradnes teritorijā tehniskā nodrošinājuma laukumā, īpaši aprīkotā teritorijā ar </w:t>
            </w:r>
            <w:proofErr w:type="spellStart"/>
            <w:r w:rsidRPr="0053506A">
              <w:rPr>
                <w:rFonts w:ascii="Calibri" w:hAnsi="Calibri" w:cs="Calibri"/>
                <w:sz w:val="22"/>
                <w:szCs w:val="22"/>
              </w:rPr>
              <w:t>pretinfiltrācijas</w:t>
            </w:r>
            <w:proofErr w:type="spellEnd"/>
            <w:r w:rsidRPr="0053506A">
              <w:rPr>
                <w:rFonts w:ascii="Calibri" w:hAnsi="Calibri" w:cs="Calibri"/>
                <w:sz w:val="22"/>
                <w:szCs w:val="22"/>
              </w:rPr>
              <w:t xml:space="preserve"> segumu. Ziņojuma 4.5. </w:t>
            </w:r>
            <w:proofErr w:type="spellStart"/>
            <w:r w:rsidRPr="0053506A">
              <w:rPr>
                <w:rFonts w:ascii="Calibri" w:hAnsi="Calibri" w:cs="Calibri"/>
                <w:sz w:val="22"/>
                <w:szCs w:val="22"/>
              </w:rPr>
              <w:t>apakšsadaļā</w:t>
            </w:r>
            <w:proofErr w:type="spellEnd"/>
            <w:r w:rsidRPr="0053506A">
              <w:rPr>
                <w:rFonts w:ascii="Calibri" w:hAnsi="Calibri" w:cs="Calibri"/>
                <w:sz w:val="22"/>
                <w:szCs w:val="22"/>
              </w:rPr>
              <w:t xml:space="preserve"> “Derīgā izrakteņa ieguves un apstrādes tehnoloģijas” (36. lpp.) tiek precizēts, ka degvielas uzglabāšanas tvertnes tilpums – 10 m3. Atbilstoši Ministru kabineta 2012. gada 12. jūnija noteikumu Nr. 409 “Noteikumi par vides aizsardzības prasībām degvielas uzpildes stacijām, naftas bāzēm un pārvietojamām cisternām” (turpmāk – MK noteikumi Nr.409) 2. punkta 2.11. apakšpunktam degvielas uzpildes stacija ir jebkurš objekts, kurā degvielu pārsūknē no stacionāriem glabāšanas rezervuāriem uz transportlīdzekļu degvielas tvertnēm. No MK noteikumu Nr.409 9. punkta  izriet, ka šo noteikumu prasības attiecas arī uz </w:t>
            </w:r>
            <w:r w:rsidRPr="0053506A">
              <w:rPr>
                <w:rFonts w:ascii="Calibri" w:hAnsi="Calibri" w:cs="Calibri"/>
                <w:sz w:val="22"/>
                <w:szCs w:val="22"/>
              </w:rPr>
              <w:lastRenderedPageBreak/>
              <w:t>degvielas uzpildes stacijām, kuru rezervuāros paredzēts uzglabāt degvielu pašpatēriņam. Atbilstoši Ministru kabineta 2010. gada 30. novembra noteikumu Nr. 1082 “Kārtība, kādā piesakāmas A, B un C kategorijas piesārņojošas darbības un izsniedzamas atļaujas A un B kategorijas piesārņojošo darbību veikšanai” 2. pielikuma 1.3. apakšpunktam degvielas uzpildes stacijas ar degvielas apjomu (lielāko kopējo degvielas daudzumu, kas pārsūknēts pēdējo triju gadu laikā) līdz 2000 m3 gadā) degvielas uzpildes stacijas darbība atbilst C kategorijas piesārņojošai darbībai.</w:t>
            </w:r>
          </w:p>
        </w:tc>
        <w:tc>
          <w:tcPr>
            <w:tcW w:w="1701" w:type="dxa"/>
          </w:tcPr>
          <w:p w14:paraId="6EEFEF5B" w14:textId="3F61486C" w:rsidR="005D5384" w:rsidRPr="0053506A" w:rsidRDefault="00E06909" w:rsidP="007A090D">
            <w:pPr>
              <w:rPr>
                <w:rFonts w:ascii="Calibri" w:hAnsi="Calibri" w:cs="Calibri"/>
                <w:sz w:val="22"/>
                <w:szCs w:val="22"/>
              </w:rPr>
            </w:pPr>
            <w:r w:rsidRPr="0053506A">
              <w:rPr>
                <w:rFonts w:ascii="Calibri" w:hAnsi="Calibri" w:cs="Calibri"/>
                <w:sz w:val="22"/>
                <w:szCs w:val="22"/>
              </w:rPr>
              <w:lastRenderedPageBreak/>
              <w:t>Pilnveidota IVN Ziņojuma 4.sadaļa</w:t>
            </w:r>
          </w:p>
        </w:tc>
        <w:tc>
          <w:tcPr>
            <w:tcW w:w="4664" w:type="dxa"/>
          </w:tcPr>
          <w:p w14:paraId="05BE72AB" w14:textId="77777777" w:rsidR="005D5384" w:rsidRPr="0053506A" w:rsidRDefault="005D5384" w:rsidP="007A090D">
            <w:pPr>
              <w:rPr>
                <w:rFonts w:ascii="Calibri" w:hAnsi="Calibri" w:cs="Calibri"/>
                <w:sz w:val="22"/>
                <w:szCs w:val="22"/>
              </w:rPr>
            </w:pPr>
          </w:p>
        </w:tc>
      </w:tr>
      <w:tr w:rsidR="005D5384" w:rsidRPr="0053506A" w14:paraId="7F2B9B15" w14:textId="77777777" w:rsidTr="0053506A">
        <w:tc>
          <w:tcPr>
            <w:tcW w:w="495" w:type="dxa"/>
          </w:tcPr>
          <w:p w14:paraId="0B6CE0B1" w14:textId="41388CE1" w:rsidR="005D5384" w:rsidRPr="0053506A" w:rsidRDefault="0048663C" w:rsidP="007A090D">
            <w:pPr>
              <w:rPr>
                <w:rFonts w:ascii="Calibri" w:hAnsi="Calibri" w:cs="Calibri"/>
                <w:sz w:val="22"/>
                <w:szCs w:val="22"/>
              </w:rPr>
            </w:pPr>
            <w:r w:rsidRPr="0053506A">
              <w:rPr>
                <w:rFonts w:ascii="Calibri" w:hAnsi="Calibri" w:cs="Calibri"/>
                <w:sz w:val="22"/>
                <w:szCs w:val="22"/>
              </w:rPr>
              <w:t>2.</w:t>
            </w:r>
          </w:p>
        </w:tc>
        <w:tc>
          <w:tcPr>
            <w:tcW w:w="2761" w:type="dxa"/>
          </w:tcPr>
          <w:p w14:paraId="6AF4907C" w14:textId="54418A6B" w:rsidR="005D5384" w:rsidRPr="0053506A" w:rsidRDefault="0048663C" w:rsidP="007A090D">
            <w:pPr>
              <w:rPr>
                <w:rFonts w:ascii="Calibri" w:hAnsi="Calibri" w:cs="Calibri"/>
                <w:sz w:val="22"/>
                <w:szCs w:val="22"/>
              </w:rPr>
            </w:pPr>
            <w:r w:rsidRPr="0053506A">
              <w:rPr>
                <w:rFonts w:ascii="Calibri" w:hAnsi="Calibri" w:cs="Calibri"/>
                <w:sz w:val="22"/>
                <w:szCs w:val="22"/>
              </w:rPr>
              <w:t>Norādām uz konstatēto pretrunu: Ziņojuma 35. lpp. pie informācijas par Derīgā materiāla apstrāde skalotājā tiek norādīts, ka mazgāšanai nepieciešamais tehniskais ūdens tiks iegūts no individuāla urbuma, kas ierīkots īpašuma robežās, savukārt, no sadaļas “Ūdensapgāde” (36. lpp.) izriet, ka urbums tehniskās ūdens ieguvei vēl tiks ierīkots.</w:t>
            </w:r>
          </w:p>
        </w:tc>
        <w:tc>
          <w:tcPr>
            <w:tcW w:w="1701" w:type="dxa"/>
          </w:tcPr>
          <w:p w14:paraId="4357C900" w14:textId="68B34106" w:rsidR="005D5384" w:rsidRPr="0053506A" w:rsidRDefault="0048663C" w:rsidP="007A090D">
            <w:pPr>
              <w:rPr>
                <w:rFonts w:ascii="Calibri" w:hAnsi="Calibri" w:cs="Calibri"/>
                <w:sz w:val="22"/>
                <w:szCs w:val="22"/>
              </w:rPr>
            </w:pPr>
            <w:r w:rsidRPr="0053506A">
              <w:rPr>
                <w:rFonts w:ascii="Calibri" w:hAnsi="Calibri" w:cs="Calibri"/>
                <w:sz w:val="22"/>
                <w:szCs w:val="22"/>
              </w:rPr>
              <w:t>Veikts redakcionāls labojums IVN Ziņojuma sadaļā “Derīgā materiāla apstrāde skalotājā”</w:t>
            </w:r>
          </w:p>
        </w:tc>
        <w:tc>
          <w:tcPr>
            <w:tcW w:w="4664" w:type="dxa"/>
          </w:tcPr>
          <w:p w14:paraId="19C6EAD5" w14:textId="77777777" w:rsidR="005D5384" w:rsidRPr="0053506A" w:rsidRDefault="005D5384" w:rsidP="007A090D">
            <w:pPr>
              <w:rPr>
                <w:rFonts w:ascii="Calibri" w:hAnsi="Calibri" w:cs="Calibri"/>
                <w:sz w:val="22"/>
                <w:szCs w:val="22"/>
              </w:rPr>
            </w:pPr>
          </w:p>
        </w:tc>
      </w:tr>
      <w:tr w:rsidR="005D5384" w:rsidRPr="0053506A" w14:paraId="4F44E428" w14:textId="77777777" w:rsidTr="0053506A">
        <w:tc>
          <w:tcPr>
            <w:tcW w:w="495" w:type="dxa"/>
          </w:tcPr>
          <w:p w14:paraId="46E96D30" w14:textId="1647E189" w:rsidR="005D5384" w:rsidRPr="0053506A" w:rsidRDefault="0048663C" w:rsidP="007A090D">
            <w:pPr>
              <w:rPr>
                <w:rFonts w:ascii="Calibri" w:hAnsi="Calibri" w:cs="Calibri"/>
                <w:sz w:val="22"/>
                <w:szCs w:val="22"/>
              </w:rPr>
            </w:pPr>
            <w:r w:rsidRPr="0053506A">
              <w:rPr>
                <w:rFonts w:ascii="Calibri" w:hAnsi="Calibri" w:cs="Calibri"/>
                <w:sz w:val="22"/>
                <w:szCs w:val="22"/>
              </w:rPr>
              <w:t>3.</w:t>
            </w:r>
          </w:p>
        </w:tc>
        <w:tc>
          <w:tcPr>
            <w:tcW w:w="2761" w:type="dxa"/>
          </w:tcPr>
          <w:p w14:paraId="040EAE52" w14:textId="5C011EBF" w:rsidR="005D5384" w:rsidRPr="0053506A" w:rsidRDefault="0048663C" w:rsidP="007A090D">
            <w:pPr>
              <w:rPr>
                <w:rFonts w:ascii="Calibri" w:hAnsi="Calibri" w:cs="Calibri"/>
                <w:sz w:val="22"/>
                <w:szCs w:val="22"/>
              </w:rPr>
            </w:pPr>
            <w:r w:rsidRPr="0053506A">
              <w:rPr>
                <w:rFonts w:ascii="Calibri" w:hAnsi="Calibri" w:cs="Calibri"/>
                <w:sz w:val="22"/>
                <w:szCs w:val="22"/>
              </w:rPr>
              <w:t xml:space="preserve">Atbilstoši sadaļā “Ūdensapgāde” (36. lpp.) norādītajam izveidojot tehnoloģisko laukumu ar materiāla skalošanu, tiks ierīkots ūdens apgādes urbums tehniskā ūdens ieguvei, ko izmantos materiāla skalošanai. Tiek izmantota ūdens atkārtotas izmantošanas sistēma ar 2 </w:t>
            </w:r>
            <w:proofErr w:type="spellStart"/>
            <w:r w:rsidRPr="0053506A">
              <w:rPr>
                <w:rFonts w:ascii="Calibri" w:hAnsi="Calibri" w:cs="Calibri"/>
                <w:sz w:val="22"/>
                <w:szCs w:val="22"/>
              </w:rPr>
              <w:t>nosēddīķiem</w:t>
            </w:r>
            <w:proofErr w:type="spellEnd"/>
            <w:r w:rsidRPr="0053506A">
              <w:rPr>
                <w:rFonts w:ascii="Calibri" w:hAnsi="Calibri" w:cs="Calibri"/>
                <w:sz w:val="22"/>
                <w:szCs w:val="22"/>
              </w:rPr>
              <w:t xml:space="preserve"> un vienu ūdens ņemšanas dīķi kur </w:t>
            </w:r>
            <w:r w:rsidRPr="0053506A">
              <w:rPr>
                <w:rFonts w:ascii="Calibri" w:hAnsi="Calibri" w:cs="Calibri"/>
                <w:sz w:val="22"/>
                <w:szCs w:val="22"/>
              </w:rPr>
              <w:lastRenderedPageBreak/>
              <w:t>zudumi prognozēti 2-3% apjomā. Plānotais  ūdens patēriņš pie intensīva skalošanas procesa prognozējams 40-60m3 diennaktī. Prognozētais ūdens apjoms, kas nepieciešams sistēmas papildināšanai ir neliels (maksimāli 1,8m3/</w:t>
            </w:r>
            <w:proofErr w:type="spellStart"/>
            <w:r w:rsidRPr="0053506A">
              <w:rPr>
                <w:rFonts w:ascii="Calibri" w:hAnsi="Calibri" w:cs="Calibri"/>
                <w:sz w:val="22"/>
                <w:szCs w:val="22"/>
              </w:rPr>
              <w:t>dnn</w:t>
            </w:r>
            <w:proofErr w:type="spellEnd"/>
            <w:r w:rsidRPr="0053506A">
              <w:rPr>
                <w:rFonts w:ascii="Calibri" w:hAnsi="Calibri" w:cs="Calibri"/>
                <w:sz w:val="22"/>
                <w:szCs w:val="22"/>
              </w:rPr>
              <w:t>. No norādītās informācijas viennozīmīgi nav saprotams, vai ūdens intensīvajai skalošanai 40-60 m3 apjomā tiks ņemts no pazemes ūdens ieguves urbuma vai no dīķa (atkārtoti kā nostādinātais ūdens, ikdienā papildinot ar 1,8 m3 no urbuma). Informējam, ka atbilstoši Ministru kabineta 2003. gada 23. decembra noteikumu Nr. 736 “Noteikumi par ūdens resursu lietošanas atļauju” 2.1.1. apakšpunktam ūdens resursu lietošanas atļauja nepieciešama virszemes un pazemes ūdeņu ieguvei, ja diennaktī iegūst 10 m3 vai vairāk pazemes ūdens. Pašvaldības teritorijas plānojuma Teritorijas izmantošanas un apbūves noteikumu (turpmāk – TIAN) 2.10. sadaļas “Prasības derīgo izrakteņu ieguves vietu izveidei” 2.10.5. apakšpunktā noteikts: “Mežu teritorijās derīgo izrakteņu ieguve un karjeru izstrāde tiek reglamentēta līdz gruntsūdens līmenim”. Secināms, ka ūdens ņemšana no dīķa nebūs iespējama, jo ieguve tiek pieļauta līdz gruntsūdens līmenim.</w:t>
            </w:r>
          </w:p>
        </w:tc>
        <w:tc>
          <w:tcPr>
            <w:tcW w:w="1701" w:type="dxa"/>
          </w:tcPr>
          <w:p w14:paraId="42423823" w14:textId="6B0F9AC2" w:rsidR="005D5384" w:rsidRPr="0053506A" w:rsidRDefault="0048663C" w:rsidP="007A090D">
            <w:pPr>
              <w:rPr>
                <w:rFonts w:ascii="Calibri" w:hAnsi="Calibri" w:cs="Calibri"/>
                <w:sz w:val="22"/>
                <w:szCs w:val="22"/>
              </w:rPr>
            </w:pPr>
            <w:r w:rsidRPr="0053506A">
              <w:rPr>
                <w:rFonts w:ascii="Calibri" w:hAnsi="Calibri" w:cs="Calibri"/>
                <w:sz w:val="22"/>
                <w:szCs w:val="22"/>
              </w:rPr>
              <w:lastRenderedPageBreak/>
              <w:t>Veikts</w:t>
            </w:r>
            <w:r w:rsidR="00B51BB7" w:rsidRPr="0053506A">
              <w:rPr>
                <w:rFonts w:ascii="Calibri" w:hAnsi="Calibri" w:cs="Calibri"/>
                <w:sz w:val="22"/>
                <w:szCs w:val="22"/>
              </w:rPr>
              <w:t xml:space="preserve"> papildinājums</w:t>
            </w:r>
            <w:r w:rsidRPr="0053506A">
              <w:rPr>
                <w:rFonts w:ascii="Calibri" w:hAnsi="Calibri" w:cs="Calibri"/>
                <w:sz w:val="22"/>
                <w:szCs w:val="22"/>
              </w:rPr>
              <w:t xml:space="preserve"> IVN Ziņojuma sadaļā “Derīgā materiāla apstrāde skalotājā”</w:t>
            </w:r>
          </w:p>
        </w:tc>
        <w:tc>
          <w:tcPr>
            <w:tcW w:w="4664" w:type="dxa"/>
          </w:tcPr>
          <w:p w14:paraId="017060F9" w14:textId="7DE429E6" w:rsidR="005D5384" w:rsidRPr="0053506A" w:rsidRDefault="00B51BB7" w:rsidP="007A090D">
            <w:pPr>
              <w:rPr>
                <w:rFonts w:ascii="Calibri" w:hAnsi="Calibri" w:cs="Calibri"/>
                <w:sz w:val="22"/>
                <w:szCs w:val="22"/>
              </w:rPr>
            </w:pPr>
            <w:r w:rsidRPr="0053506A">
              <w:rPr>
                <w:rFonts w:ascii="Calibri" w:hAnsi="Calibri" w:cs="Calibri"/>
                <w:sz w:val="22"/>
                <w:szCs w:val="22"/>
              </w:rPr>
              <w:t>Vēršam uzmanību uz to, ka Ziņojumā definēts, ka “Ūdens tiks iegūts no ūdens ieguves urbuma un tiks izmantots slēgtā ciklā atkārtoti”, kā arī, ka tiks izmantoti mākslīgi ierīkoti dīķi, tie nav saistīti ar gruntsūdens horizontu.</w:t>
            </w:r>
          </w:p>
        </w:tc>
      </w:tr>
      <w:tr w:rsidR="005D5384" w:rsidRPr="0053506A" w14:paraId="44C73502" w14:textId="77777777" w:rsidTr="0053506A">
        <w:tc>
          <w:tcPr>
            <w:tcW w:w="495" w:type="dxa"/>
          </w:tcPr>
          <w:p w14:paraId="20F1B91D" w14:textId="48B7915D" w:rsidR="005D5384" w:rsidRPr="0053506A" w:rsidRDefault="00B51BB7" w:rsidP="007A090D">
            <w:pPr>
              <w:rPr>
                <w:rFonts w:ascii="Calibri" w:hAnsi="Calibri" w:cs="Calibri"/>
                <w:sz w:val="22"/>
                <w:szCs w:val="22"/>
              </w:rPr>
            </w:pPr>
            <w:r w:rsidRPr="0053506A">
              <w:rPr>
                <w:rFonts w:ascii="Calibri" w:hAnsi="Calibri" w:cs="Calibri"/>
                <w:sz w:val="22"/>
                <w:szCs w:val="22"/>
              </w:rPr>
              <w:t>4.</w:t>
            </w:r>
          </w:p>
        </w:tc>
        <w:tc>
          <w:tcPr>
            <w:tcW w:w="2761" w:type="dxa"/>
          </w:tcPr>
          <w:p w14:paraId="74573FA9" w14:textId="7D949DC7" w:rsidR="005D5384" w:rsidRPr="0053506A" w:rsidRDefault="00B51BB7" w:rsidP="007A090D">
            <w:pPr>
              <w:rPr>
                <w:rFonts w:ascii="Calibri" w:hAnsi="Calibri" w:cs="Calibri"/>
                <w:sz w:val="22"/>
                <w:szCs w:val="22"/>
              </w:rPr>
            </w:pPr>
            <w:r w:rsidRPr="0053506A">
              <w:rPr>
                <w:rFonts w:ascii="Calibri" w:hAnsi="Calibri" w:cs="Calibri"/>
                <w:sz w:val="22"/>
                <w:szCs w:val="22"/>
              </w:rPr>
              <w:t xml:space="preserve">Atbilstoši Ziņojuma 4.6. </w:t>
            </w:r>
            <w:proofErr w:type="spellStart"/>
            <w:r w:rsidRPr="0053506A">
              <w:rPr>
                <w:rFonts w:ascii="Calibri" w:hAnsi="Calibri" w:cs="Calibri"/>
                <w:sz w:val="22"/>
                <w:szCs w:val="22"/>
              </w:rPr>
              <w:t>apakšsadaļā</w:t>
            </w:r>
            <w:proofErr w:type="spellEnd"/>
            <w:r w:rsidRPr="0053506A">
              <w:rPr>
                <w:rFonts w:ascii="Calibri" w:hAnsi="Calibri" w:cs="Calibri"/>
                <w:sz w:val="22"/>
                <w:szCs w:val="22"/>
              </w:rPr>
              <w:t xml:space="preserve"> “Atkritumu un </w:t>
            </w:r>
            <w:r w:rsidRPr="0053506A">
              <w:rPr>
                <w:rFonts w:ascii="Calibri" w:hAnsi="Calibri" w:cs="Calibri"/>
                <w:sz w:val="22"/>
                <w:szCs w:val="22"/>
              </w:rPr>
              <w:lastRenderedPageBreak/>
              <w:t>to apsaimniekošana” noradītajam (37. lpp.) ieguves rezultātā radīto atkritumu apsaimniekošanā tiks ievēroti Ministru kabineta 2011. gada 21. jūnija noteikumu Nr. 470 “Derīgo izrakteņu ieguves atkritumu apsaimniekošanas kārtība” (turpmāk – MK noteikumi Nr. 470) prasības. Dienests norāda, ka saskaņā ar iepriekš minēto noteikumu anotāciju noteikumi ir paredzēti komersantiem, kuri nodarbojas ar derīgo izrakteņu ieguves atkritumu apsaimniekošanu. Latvijā attiecināms tikai uz komersantiem, kas nodarbojas vai nodarbosies ar ģipšakmens un anhidrīta ieguvē radušo atkritumu apsaimniekošanu. Ņemot vērā Ziņojumā sniegto informāciju, Dienests secina, ka MK noteikumi Nr. 470 nav attiecināmi uz paredzēto darbību.</w:t>
            </w:r>
          </w:p>
        </w:tc>
        <w:tc>
          <w:tcPr>
            <w:tcW w:w="1701" w:type="dxa"/>
          </w:tcPr>
          <w:p w14:paraId="52322417" w14:textId="0174C6FC" w:rsidR="005D5384" w:rsidRPr="0053506A" w:rsidRDefault="00B51BB7" w:rsidP="007A090D">
            <w:pPr>
              <w:rPr>
                <w:rFonts w:ascii="Calibri" w:hAnsi="Calibri" w:cs="Calibri"/>
                <w:sz w:val="22"/>
                <w:szCs w:val="22"/>
              </w:rPr>
            </w:pPr>
            <w:r w:rsidRPr="0053506A">
              <w:rPr>
                <w:rFonts w:ascii="Calibri" w:hAnsi="Calibri" w:cs="Calibri"/>
                <w:sz w:val="22"/>
                <w:szCs w:val="22"/>
              </w:rPr>
              <w:lastRenderedPageBreak/>
              <w:t>Izmaiņas nav nepieciešamas</w:t>
            </w:r>
          </w:p>
        </w:tc>
        <w:tc>
          <w:tcPr>
            <w:tcW w:w="4664" w:type="dxa"/>
          </w:tcPr>
          <w:p w14:paraId="46235720" w14:textId="77777777" w:rsidR="005D5384" w:rsidRPr="0053506A" w:rsidRDefault="00B51BB7" w:rsidP="007A090D">
            <w:pPr>
              <w:rPr>
                <w:rFonts w:ascii="Calibri" w:hAnsi="Calibri" w:cs="Calibri"/>
                <w:sz w:val="22"/>
                <w:szCs w:val="22"/>
              </w:rPr>
            </w:pPr>
            <w:r w:rsidRPr="0053506A">
              <w:rPr>
                <w:rFonts w:ascii="Calibri" w:hAnsi="Calibri" w:cs="Calibri"/>
                <w:sz w:val="22"/>
                <w:szCs w:val="22"/>
              </w:rPr>
              <w:t>Vēršam uzmanību uz to, ka:</w:t>
            </w:r>
          </w:p>
          <w:p w14:paraId="409C1FE4" w14:textId="77777777" w:rsidR="00B51BB7" w:rsidRPr="0053506A" w:rsidRDefault="00B51BB7" w:rsidP="007A090D">
            <w:pPr>
              <w:rPr>
                <w:rFonts w:ascii="Calibri" w:hAnsi="Calibri" w:cs="Calibri"/>
                <w:sz w:val="22"/>
                <w:szCs w:val="22"/>
              </w:rPr>
            </w:pPr>
            <w:r w:rsidRPr="0053506A">
              <w:rPr>
                <w:rFonts w:ascii="Calibri" w:hAnsi="Calibri" w:cs="Calibri"/>
                <w:sz w:val="22"/>
                <w:szCs w:val="22"/>
              </w:rPr>
              <w:t xml:space="preserve">Saskaņā ar minēto noteikumu </w:t>
            </w:r>
          </w:p>
          <w:p w14:paraId="13924513" w14:textId="1FE9C7C5" w:rsidR="00B51BB7" w:rsidRPr="0053506A" w:rsidRDefault="00B51BB7" w:rsidP="007A090D">
            <w:pPr>
              <w:rPr>
                <w:rFonts w:ascii="Calibri" w:hAnsi="Calibri" w:cs="Calibri"/>
                <w:sz w:val="22"/>
                <w:szCs w:val="22"/>
              </w:rPr>
            </w:pPr>
            <w:r w:rsidRPr="0053506A">
              <w:rPr>
                <w:rFonts w:ascii="Calibri" w:hAnsi="Calibri" w:cs="Calibri"/>
                <w:sz w:val="22"/>
                <w:szCs w:val="22"/>
              </w:rPr>
              <w:lastRenderedPageBreak/>
              <w:t>1. punktā noteikto: “Noteikumi nosaka derīgo izrakteņu ieguves rūpniecības atkritumu (turpmāk – ieguves atkritumi) apsaimniekošanas kārtību.”</w:t>
            </w:r>
          </w:p>
          <w:p w14:paraId="1B3E337D" w14:textId="77777777" w:rsidR="00B51BB7" w:rsidRPr="0053506A" w:rsidRDefault="00B51BB7" w:rsidP="007A090D">
            <w:pPr>
              <w:rPr>
                <w:rFonts w:ascii="Calibri" w:hAnsi="Calibri" w:cs="Calibri"/>
                <w:sz w:val="22"/>
                <w:szCs w:val="22"/>
              </w:rPr>
            </w:pPr>
            <w:r w:rsidRPr="0053506A">
              <w:rPr>
                <w:rFonts w:ascii="Calibri" w:hAnsi="Calibri" w:cs="Calibri"/>
                <w:sz w:val="22"/>
                <w:szCs w:val="22"/>
              </w:rPr>
              <w:t>Savukārt saskaņā ar 2.6. punktā noteikto: “derīgo izrakteņu ieguves rūpniecība – šo noteikumu izpratnē visi komersanti, kas nodarbojas ar derīgo izrakteņu ieguvi vai to apstrādi”</w:t>
            </w:r>
          </w:p>
          <w:p w14:paraId="125D25CF" w14:textId="77777777" w:rsidR="00B51BB7" w:rsidRPr="0053506A" w:rsidRDefault="00B51BB7" w:rsidP="007A090D">
            <w:pPr>
              <w:rPr>
                <w:rFonts w:ascii="Calibri" w:hAnsi="Calibri" w:cs="Calibri"/>
                <w:sz w:val="22"/>
                <w:szCs w:val="22"/>
              </w:rPr>
            </w:pPr>
            <w:r w:rsidRPr="0053506A">
              <w:rPr>
                <w:rFonts w:ascii="Calibri" w:hAnsi="Calibri" w:cs="Calibri"/>
                <w:sz w:val="22"/>
                <w:szCs w:val="22"/>
              </w:rPr>
              <w:t>Tādējādi Noteikumos nav ietverti nosacījumi, ka tie nav attiecināmi uz kādu konkrētu derīgo izrakteņu ieguvi.</w:t>
            </w:r>
          </w:p>
          <w:p w14:paraId="1AAF888E" w14:textId="09EE126E" w:rsidR="00B51BB7" w:rsidRPr="0053506A" w:rsidRDefault="00B51BB7" w:rsidP="00B51BB7">
            <w:pPr>
              <w:rPr>
                <w:rFonts w:ascii="Calibri" w:hAnsi="Calibri" w:cs="Calibri"/>
                <w:sz w:val="22"/>
                <w:szCs w:val="22"/>
              </w:rPr>
            </w:pPr>
            <w:r w:rsidRPr="0053506A">
              <w:rPr>
                <w:rFonts w:ascii="Calibri" w:hAnsi="Calibri" w:cs="Calibri"/>
                <w:sz w:val="22"/>
                <w:szCs w:val="22"/>
              </w:rPr>
              <w:t>Noteikumu 4. punkts nosaka, ka: “Šos noteikumus (izņemot šo noteikumu 12., 13. un 14.punktā minētās prasības) nepiemēro šādu ieguves atkritumu glabāšanai:</w:t>
            </w:r>
          </w:p>
          <w:p w14:paraId="09865914" w14:textId="77777777" w:rsidR="00B51BB7" w:rsidRPr="0053506A" w:rsidRDefault="00B51BB7" w:rsidP="00B51BB7">
            <w:pPr>
              <w:rPr>
                <w:rFonts w:ascii="Calibri" w:hAnsi="Calibri" w:cs="Calibri"/>
                <w:sz w:val="22"/>
                <w:szCs w:val="22"/>
              </w:rPr>
            </w:pPr>
            <w:r w:rsidRPr="0053506A">
              <w:rPr>
                <w:rFonts w:ascii="Calibri" w:hAnsi="Calibri" w:cs="Calibri"/>
                <w:sz w:val="22"/>
                <w:szCs w:val="22"/>
              </w:rPr>
              <w:t xml:space="preserve">4.1. atkritumi, kas nav bīstami un rodas derīgo izrakteņu (izņemot ogļūdeņražus un </w:t>
            </w:r>
            <w:proofErr w:type="spellStart"/>
            <w:r w:rsidRPr="0053506A">
              <w:rPr>
                <w:rFonts w:ascii="Calibri" w:hAnsi="Calibri" w:cs="Calibri"/>
                <w:sz w:val="22"/>
                <w:szCs w:val="22"/>
              </w:rPr>
              <w:t>evaporītus</w:t>
            </w:r>
            <w:proofErr w:type="spellEnd"/>
            <w:r w:rsidRPr="0053506A">
              <w:rPr>
                <w:rFonts w:ascii="Calibri" w:hAnsi="Calibri" w:cs="Calibri"/>
                <w:sz w:val="22"/>
                <w:szCs w:val="22"/>
              </w:rPr>
              <w:t>, bet ne ģipšakmeni un anhidrītu) ģeoloģiskajā izpētē un ieguvē;</w:t>
            </w:r>
          </w:p>
          <w:p w14:paraId="534F0EA8" w14:textId="77777777" w:rsidR="00B51BB7" w:rsidRPr="0053506A" w:rsidRDefault="00B51BB7" w:rsidP="00B51BB7">
            <w:pPr>
              <w:rPr>
                <w:rFonts w:ascii="Calibri" w:hAnsi="Calibri" w:cs="Calibri"/>
                <w:sz w:val="22"/>
                <w:szCs w:val="22"/>
              </w:rPr>
            </w:pPr>
            <w:r w:rsidRPr="0053506A">
              <w:rPr>
                <w:rFonts w:ascii="Calibri" w:hAnsi="Calibri" w:cs="Calibri"/>
                <w:sz w:val="22"/>
                <w:szCs w:val="22"/>
              </w:rPr>
              <w:t>4.2. nepiesārņota augsne;</w:t>
            </w:r>
          </w:p>
          <w:p w14:paraId="108E59DC" w14:textId="77777777" w:rsidR="00B51BB7" w:rsidRPr="0053506A" w:rsidRDefault="00B51BB7" w:rsidP="00B51BB7">
            <w:pPr>
              <w:rPr>
                <w:rFonts w:ascii="Calibri" w:hAnsi="Calibri" w:cs="Calibri"/>
                <w:sz w:val="22"/>
                <w:szCs w:val="22"/>
              </w:rPr>
            </w:pPr>
            <w:r w:rsidRPr="0053506A">
              <w:rPr>
                <w:rFonts w:ascii="Calibri" w:hAnsi="Calibri" w:cs="Calibri"/>
                <w:sz w:val="22"/>
                <w:szCs w:val="22"/>
              </w:rPr>
              <w:t>4.3. atkritumi, kas radušies, iegūstot, pastrādājot vai uzglabājot kūdru.</w:t>
            </w:r>
          </w:p>
          <w:p w14:paraId="689F5D32" w14:textId="3D8266B2" w:rsidR="00914AC7" w:rsidRPr="0053506A" w:rsidRDefault="00914AC7" w:rsidP="00B51BB7">
            <w:pPr>
              <w:rPr>
                <w:rFonts w:ascii="Calibri" w:hAnsi="Calibri" w:cs="Calibri"/>
                <w:sz w:val="22"/>
                <w:szCs w:val="22"/>
              </w:rPr>
            </w:pPr>
            <w:r w:rsidRPr="0053506A">
              <w:rPr>
                <w:rFonts w:ascii="Calibri" w:hAnsi="Calibri" w:cs="Calibri"/>
                <w:sz w:val="22"/>
                <w:szCs w:val="22"/>
              </w:rPr>
              <w:t>Bet uz minētajiem atkritumiem pilnībā attiecas noteikumu 12., 13. un 14.punktā minētās prasības, tādējādi tie ir saistoši arī smilts, smilts grants ieguves procesā un ir jāievēro šo noteikumu 12., 13. un 14.punktā minētās prasības.</w:t>
            </w:r>
          </w:p>
        </w:tc>
      </w:tr>
      <w:tr w:rsidR="005D5384" w:rsidRPr="0053506A" w14:paraId="78481E06" w14:textId="77777777" w:rsidTr="0053506A">
        <w:tc>
          <w:tcPr>
            <w:tcW w:w="495" w:type="dxa"/>
          </w:tcPr>
          <w:p w14:paraId="29497282" w14:textId="02FF8D3E" w:rsidR="005D5384" w:rsidRPr="0053506A" w:rsidRDefault="00914AC7" w:rsidP="007A090D">
            <w:pPr>
              <w:rPr>
                <w:rFonts w:ascii="Calibri" w:hAnsi="Calibri" w:cs="Calibri"/>
                <w:sz w:val="22"/>
                <w:szCs w:val="22"/>
              </w:rPr>
            </w:pPr>
            <w:r w:rsidRPr="0053506A">
              <w:rPr>
                <w:rFonts w:ascii="Calibri" w:hAnsi="Calibri" w:cs="Calibri"/>
                <w:sz w:val="22"/>
                <w:szCs w:val="22"/>
              </w:rPr>
              <w:lastRenderedPageBreak/>
              <w:t>5.</w:t>
            </w:r>
          </w:p>
        </w:tc>
        <w:tc>
          <w:tcPr>
            <w:tcW w:w="2761" w:type="dxa"/>
          </w:tcPr>
          <w:p w14:paraId="01BAA478" w14:textId="1C7B7875" w:rsidR="005D5384" w:rsidRPr="0053506A" w:rsidRDefault="00914AC7" w:rsidP="007A090D">
            <w:pPr>
              <w:rPr>
                <w:rFonts w:ascii="Calibri" w:hAnsi="Calibri" w:cs="Calibri"/>
                <w:sz w:val="22"/>
                <w:szCs w:val="22"/>
              </w:rPr>
            </w:pPr>
            <w:r w:rsidRPr="0053506A">
              <w:rPr>
                <w:rFonts w:ascii="Calibri" w:hAnsi="Calibri" w:cs="Calibri"/>
                <w:sz w:val="22"/>
                <w:szCs w:val="22"/>
              </w:rPr>
              <w:t xml:space="preserve">Ziņojuma 36. lpp. pie informācijas par notekūdeņiem noradīts, ka sadzīves notekūdeņus paredzēts uzkrāt 5 m3 lielā </w:t>
            </w:r>
            <w:proofErr w:type="spellStart"/>
            <w:r w:rsidRPr="0053506A">
              <w:rPr>
                <w:rFonts w:ascii="Calibri" w:hAnsi="Calibri" w:cs="Calibri"/>
                <w:sz w:val="22"/>
                <w:szCs w:val="22"/>
              </w:rPr>
              <w:t>septiķī</w:t>
            </w:r>
            <w:proofErr w:type="spellEnd"/>
            <w:r w:rsidRPr="0053506A">
              <w:rPr>
                <w:rFonts w:ascii="Calibri" w:hAnsi="Calibri" w:cs="Calibri"/>
                <w:sz w:val="22"/>
                <w:szCs w:val="22"/>
              </w:rPr>
              <w:t xml:space="preserve">, ko regulāri, saskaņā ar līgumu izved un apsaimnieko atbilstoši sertificēts uzņēmums. Savukārt atbilstoši Ziņojuma 18. sadaļā “Vides kvalitātes novērtēšanas monitorings” noradītajam uz vietas nav paredzēts veikt sadzīves notekūdeņu attīrīšanu – tos uzkrāj hermētiskā </w:t>
            </w:r>
            <w:proofErr w:type="spellStart"/>
            <w:r w:rsidRPr="0053506A">
              <w:rPr>
                <w:rFonts w:ascii="Calibri" w:hAnsi="Calibri" w:cs="Calibri"/>
                <w:sz w:val="22"/>
                <w:szCs w:val="22"/>
              </w:rPr>
              <w:t>krājtvertnē</w:t>
            </w:r>
            <w:proofErr w:type="spellEnd"/>
            <w:r w:rsidRPr="0053506A">
              <w:rPr>
                <w:rFonts w:ascii="Calibri" w:hAnsi="Calibri" w:cs="Calibri"/>
                <w:sz w:val="22"/>
                <w:szCs w:val="22"/>
              </w:rPr>
              <w:t xml:space="preserve"> un pēc tam tos izved licencēta kompānija. Atbilstoši Ministru kabineta 2017. gada 27. jūnija noteikumu Nr. 384 </w:t>
            </w:r>
            <w:r w:rsidRPr="0053506A">
              <w:rPr>
                <w:rFonts w:ascii="Calibri" w:hAnsi="Calibri" w:cs="Calibri"/>
                <w:sz w:val="22"/>
                <w:szCs w:val="22"/>
              </w:rPr>
              <w:lastRenderedPageBreak/>
              <w:t xml:space="preserve">“Noteikumi par decentralizēto kanalizācijas sistēmu apsaimniekošanu un reģistrēšanu” 2.2. apakšpunkta definīcijai </w:t>
            </w:r>
            <w:proofErr w:type="spellStart"/>
            <w:r w:rsidRPr="0053506A">
              <w:rPr>
                <w:rFonts w:ascii="Calibri" w:hAnsi="Calibri" w:cs="Calibri"/>
                <w:sz w:val="22"/>
                <w:szCs w:val="22"/>
              </w:rPr>
              <w:t>septiķis</w:t>
            </w:r>
            <w:proofErr w:type="spellEnd"/>
            <w:r w:rsidRPr="0053506A">
              <w:rPr>
                <w:rFonts w:ascii="Calibri" w:hAnsi="Calibri" w:cs="Calibri"/>
                <w:sz w:val="22"/>
                <w:szCs w:val="22"/>
              </w:rPr>
              <w:t xml:space="preserve"> ir rūpnieciski ražota vai individuāli izgatavota tvertne ar divām vai vairākām kamerām cilvēka radīto notekūdeņu un </w:t>
            </w:r>
            <w:proofErr w:type="spellStart"/>
            <w:r w:rsidRPr="0053506A">
              <w:rPr>
                <w:rFonts w:ascii="Calibri" w:hAnsi="Calibri" w:cs="Calibri"/>
                <w:sz w:val="22"/>
                <w:szCs w:val="22"/>
              </w:rPr>
              <w:t>fekālo</w:t>
            </w:r>
            <w:proofErr w:type="spellEnd"/>
            <w:r w:rsidRPr="0053506A">
              <w:rPr>
                <w:rFonts w:ascii="Calibri" w:hAnsi="Calibri" w:cs="Calibri"/>
                <w:sz w:val="22"/>
                <w:szCs w:val="22"/>
              </w:rPr>
              <w:t xml:space="preserve"> nogulšņu nostādināšanai ar pārplūdi vidē pēc nostādināšanas. Ņemot vērā, ka </w:t>
            </w:r>
            <w:proofErr w:type="spellStart"/>
            <w:r w:rsidRPr="0053506A">
              <w:rPr>
                <w:rFonts w:ascii="Calibri" w:hAnsi="Calibri" w:cs="Calibri"/>
                <w:sz w:val="22"/>
                <w:szCs w:val="22"/>
              </w:rPr>
              <w:t>septiķis</w:t>
            </w:r>
            <w:proofErr w:type="spellEnd"/>
            <w:r w:rsidRPr="0053506A">
              <w:rPr>
                <w:rFonts w:ascii="Calibri" w:hAnsi="Calibri" w:cs="Calibri"/>
                <w:sz w:val="22"/>
                <w:szCs w:val="22"/>
              </w:rPr>
              <w:t xml:space="preserve"> paredz novadīšanu vidē (nav hermētiska tvertne), norādām uz pretrunu attiecībā uz Ziņojumā paredzēto sadzīves notekūdeņu savākšanas veidu.</w:t>
            </w:r>
          </w:p>
        </w:tc>
        <w:tc>
          <w:tcPr>
            <w:tcW w:w="1701" w:type="dxa"/>
          </w:tcPr>
          <w:p w14:paraId="70444EC1" w14:textId="01785A64" w:rsidR="005D5384" w:rsidRPr="0053506A" w:rsidRDefault="00914AC7" w:rsidP="007A090D">
            <w:pPr>
              <w:rPr>
                <w:rFonts w:ascii="Calibri" w:hAnsi="Calibri" w:cs="Calibri"/>
                <w:sz w:val="22"/>
                <w:szCs w:val="22"/>
              </w:rPr>
            </w:pPr>
            <w:r w:rsidRPr="0053506A">
              <w:rPr>
                <w:rFonts w:ascii="Calibri" w:hAnsi="Calibri" w:cs="Calibri"/>
                <w:sz w:val="22"/>
                <w:szCs w:val="22"/>
              </w:rPr>
              <w:lastRenderedPageBreak/>
              <w:t>Veikts redakcionāls labojums IVN Ziņojuma sadaļā Notekūdeņi</w:t>
            </w:r>
          </w:p>
        </w:tc>
        <w:tc>
          <w:tcPr>
            <w:tcW w:w="4664" w:type="dxa"/>
          </w:tcPr>
          <w:p w14:paraId="078E470B" w14:textId="77777777" w:rsidR="005D5384" w:rsidRPr="0053506A" w:rsidRDefault="005D5384" w:rsidP="007A090D">
            <w:pPr>
              <w:rPr>
                <w:rFonts w:ascii="Calibri" w:hAnsi="Calibri" w:cs="Calibri"/>
                <w:sz w:val="22"/>
                <w:szCs w:val="22"/>
              </w:rPr>
            </w:pPr>
          </w:p>
        </w:tc>
      </w:tr>
      <w:tr w:rsidR="005D5384" w:rsidRPr="0053506A" w14:paraId="6744935D" w14:textId="77777777" w:rsidTr="0053506A">
        <w:tc>
          <w:tcPr>
            <w:tcW w:w="495" w:type="dxa"/>
          </w:tcPr>
          <w:p w14:paraId="01B4D2C1" w14:textId="79519564" w:rsidR="005D5384" w:rsidRPr="0053506A" w:rsidRDefault="00914AC7" w:rsidP="007A090D">
            <w:pPr>
              <w:rPr>
                <w:rFonts w:ascii="Calibri" w:hAnsi="Calibri" w:cs="Calibri"/>
                <w:sz w:val="22"/>
                <w:szCs w:val="22"/>
              </w:rPr>
            </w:pPr>
            <w:r w:rsidRPr="0053506A">
              <w:rPr>
                <w:rFonts w:ascii="Calibri" w:hAnsi="Calibri" w:cs="Calibri"/>
                <w:sz w:val="22"/>
                <w:szCs w:val="22"/>
              </w:rPr>
              <w:t>6.</w:t>
            </w:r>
          </w:p>
        </w:tc>
        <w:tc>
          <w:tcPr>
            <w:tcW w:w="2761" w:type="dxa"/>
          </w:tcPr>
          <w:p w14:paraId="1105F249" w14:textId="381171EE" w:rsidR="005D5384" w:rsidRPr="0053506A" w:rsidRDefault="00914AC7" w:rsidP="007A090D">
            <w:pPr>
              <w:rPr>
                <w:rFonts w:ascii="Calibri" w:hAnsi="Calibri" w:cs="Calibri"/>
                <w:sz w:val="22"/>
                <w:szCs w:val="22"/>
              </w:rPr>
            </w:pPr>
            <w:r w:rsidRPr="0053506A">
              <w:rPr>
                <w:rFonts w:ascii="Calibri" w:hAnsi="Calibri" w:cs="Calibri"/>
                <w:sz w:val="22"/>
                <w:szCs w:val="22"/>
              </w:rPr>
              <w:t xml:space="preserve">Atbilstoši izstrādātajam Ziņojumam ir paredzētas divas derīgo izrakteņu ieguves alternatīvas: 1. risinājums paredz derīgo izrakteņu ieguvi veikt ne dziļāk kā līdz gruntsūdens līmenim; 2. risinājums – derīgo izrakteņu ieguvi veikt akceptētajā un derīgo izrakteņu ieguves limitā noteiktajā apjomā un dziļumā, proti, virs un zem gruntsūdens līmeņa. TIAN 2.10. sadaļas “Prasības derīgo izrakteņu ieguves vietu izveidei” 2.10.5. apakšpunktā noteikts: “Mežu teritorijās derīgo izrakteņu ieguve un karjeru izstrāde tiek reglamentēta līdz gruntsūdens līmenim”. Ņemot vērā minēto, norādām uz kļūdainu secinājumu Ziņojuma 54. lpp. – Tādējādi paredzētā darbība atbilst Raunas novada teritorijas plānojumam un tās īstenošana nav pretrunā ar </w:t>
            </w:r>
            <w:r w:rsidRPr="0053506A">
              <w:rPr>
                <w:rFonts w:ascii="Calibri" w:hAnsi="Calibri" w:cs="Calibri"/>
                <w:sz w:val="22"/>
                <w:szCs w:val="22"/>
              </w:rPr>
              <w:lastRenderedPageBreak/>
              <w:t>Teritorijas plānojumā un TIAN noteikto plānoto (atļauto) zemes lietošanas veidu. Izstrādājot derīgo izrakteņu ieguves projektu, tiks ņemtas vērā Teritorijas izmantošanas un apbūves noteikumos ietvertās prasības, proti, 2. alternatīvas īstenošana neatbilst teritorijas plānojuma atļautajai izmantošanai.</w:t>
            </w:r>
          </w:p>
        </w:tc>
        <w:tc>
          <w:tcPr>
            <w:tcW w:w="1701" w:type="dxa"/>
          </w:tcPr>
          <w:p w14:paraId="2C2C8888" w14:textId="414CC394" w:rsidR="005D5384" w:rsidRPr="0053506A" w:rsidRDefault="00914AC7" w:rsidP="007A090D">
            <w:pPr>
              <w:rPr>
                <w:rFonts w:ascii="Calibri" w:hAnsi="Calibri" w:cs="Calibri"/>
                <w:sz w:val="22"/>
                <w:szCs w:val="22"/>
              </w:rPr>
            </w:pPr>
            <w:r w:rsidRPr="0053506A">
              <w:rPr>
                <w:rFonts w:ascii="Calibri" w:hAnsi="Calibri" w:cs="Calibri"/>
                <w:sz w:val="22"/>
                <w:szCs w:val="22"/>
              </w:rPr>
              <w:lastRenderedPageBreak/>
              <w:t>Veikts redakcionāls labojums IVN Ziņojuma</w:t>
            </w:r>
            <w:r w:rsidR="0053506A">
              <w:rPr>
                <w:rFonts w:ascii="Calibri" w:hAnsi="Calibri" w:cs="Calibri"/>
                <w:sz w:val="22"/>
                <w:szCs w:val="22"/>
              </w:rPr>
              <w:t xml:space="preserve"> 4.7. sadaļā Alternatīvie tehnoloģiskie risinājumi un sadaļā 5.4. Atbilstība teritorijas plānojumam</w:t>
            </w:r>
          </w:p>
        </w:tc>
        <w:tc>
          <w:tcPr>
            <w:tcW w:w="4664" w:type="dxa"/>
          </w:tcPr>
          <w:p w14:paraId="437E81C1" w14:textId="77777777" w:rsidR="005D5384" w:rsidRPr="0053506A" w:rsidRDefault="005D5384" w:rsidP="007A090D">
            <w:pPr>
              <w:rPr>
                <w:rFonts w:ascii="Calibri" w:hAnsi="Calibri" w:cs="Calibri"/>
                <w:sz w:val="22"/>
                <w:szCs w:val="22"/>
              </w:rPr>
            </w:pPr>
          </w:p>
        </w:tc>
      </w:tr>
      <w:tr w:rsidR="005D5384" w:rsidRPr="0053506A" w14:paraId="4448A2EE" w14:textId="77777777" w:rsidTr="0053506A">
        <w:tc>
          <w:tcPr>
            <w:tcW w:w="495" w:type="dxa"/>
          </w:tcPr>
          <w:p w14:paraId="4253A45B" w14:textId="78634717" w:rsidR="005D5384" w:rsidRPr="0053506A" w:rsidRDefault="00914AC7" w:rsidP="007A090D">
            <w:pPr>
              <w:rPr>
                <w:rFonts w:ascii="Calibri" w:hAnsi="Calibri" w:cs="Calibri"/>
                <w:sz w:val="22"/>
                <w:szCs w:val="22"/>
              </w:rPr>
            </w:pPr>
            <w:r w:rsidRPr="0053506A">
              <w:rPr>
                <w:rFonts w:ascii="Calibri" w:hAnsi="Calibri" w:cs="Calibri"/>
                <w:sz w:val="22"/>
                <w:szCs w:val="22"/>
              </w:rPr>
              <w:t>7.</w:t>
            </w:r>
          </w:p>
        </w:tc>
        <w:tc>
          <w:tcPr>
            <w:tcW w:w="2761" w:type="dxa"/>
          </w:tcPr>
          <w:p w14:paraId="1DD511F3" w14:textId="12289C80" w:rsidR="005D5384" w:rsidRPr="0053506A" w:rsidRDefault="00914AC7" w:rsidP="007A090D">
            <w:pPr>
              <w:rPr>
                <w:rFonts w:ascii="Calibri" w:hAnsi="Calibri" w:cs="Calibri"/>
                <w:sz w:val="22"/>
                <w:szCs w:val="22"/>
              </w:rPr>
            </w:pPr>
            <w:r w:rsidRPr="0053506A">
              <w:rPr>
                <w:rFonts w:ascii="Calibri" w:hAnsi="Calibri" w:cs="Calibri"/>
                <w:sz w:val="22"/>
                <w:szCs w:val="22"/>
              </w:rPr>
              <w:t xml:space="preserve">Ziņojuma 5.5. </w:t>
            </w:r>
            <w:proofErr w:type="spellStart"/>
            <w:r w:rsidRPr="0053506A">
              <w:rPr>
                <w:rFonts w:ascii="Calibri" w:hAnsi="Calibri" w:cs="Calibri"/>
                <w:sz w:val="22"/>
                <w:szCs w:val="22"/>
              </w:rPr>
              <w:t>apakšsadaļā</w:t>
            </w:r>
            <w:proofErr w:type="spellEnd"/>
            <w:r w:rsidRPr="0053506A">
              <w:rPr>
                <w:rFonts w:ascii="Calibri" w:hAnsi="Calibri" w:cs="Calibri"/>
                <w:sz w:val="22"/>
                <w:szCs w:val="22"/>
              </w:rPr>
              <w:t xml:space="preserve"> “Citas derīgo izrakteņu atradnes un citi nozīmīgi objekti” tiek secināts, ka blakus paredzētās darbības vietai derīgo izrakteņu ieguve notiek atradnēs “</w:t>
            </w:r>
            <w:proofErr w:type="spellStart"/>
            <w:r w:rsidRPr="0053506A">
              <w:rPr>
                <w:rFonts w:ascii="Calibri" w:hAnsi="Calibri" w:cs="Calibri"/>
                <w:sz w:val="22"/>
                <w:szCs w:val="22"/>
              </w:rPr>
              <w:t>Pāvulkalni</w:t>
            </w:r>
            <w:proofErr w:type="spellEnd"/>
            <w:r w:rsidRPr="0053506A">
              <w:rPr>
                <w:rFonts w:ascii="Calibri" w:hAnsi="Calibri" w:cs="Calibri"/>
                <w:sz w:val="22"/>
                <w:szCs w:val="22"/>
              </w:rPr>
              <w:t>”, “</w:t>
            </w:r>
            <w:proofErr w:type="spellStart"/>
            <w:r w:rsidRPr="0053506A">
              <w:rPr>
                <w:rFonts w:ascii="Calibri" w:hAnsi="Calibri" w:cs="Calibri"/>
                <w:sz w:val="22"/>
                <w:szCs w:val="22"/>
              </w:rPr>
              <w:t>Pāvulkalni</w:t>
            </w:r>
            <w:proofErr w:type="spellEnd"/>
            <w:r w:rsidRPr="0053506A">
              <w:rPr>
                <w:rFonts w:ascii="Calibri" w:hAnsi="Calibri" w:cs="Calibri"/>
                <w:sz w:val="22"/>
                <w:szCs w:val="22"/>
              </w:rPr>
              <w:t xml:space="preserve"> 2020” un “Pāvuli”, savukārt, atradnē “Foreles” ieguve darbi pēc bieži sastopamo derīgo izrakteņu ieguves atļaujas saņemšanas nav uzsākti. Līdz ar to gaisa kvalitātes un trokšņu izplatības novērtējumos atradne “Foreles nav ņemta vērā. Dienests norāda, ka derīgo izrakteņu ieguvei atradnē “Foreles” ir veikts ietekmes sākotnējais izvērtējums Nr. VA19SI0037, ka rezultātā tika pieņemts lēmums par ietekmes uz vidi novērtējuma nepiemērošanu, un 2019. gada 28. jūnijā tika sagatavoti tehniskie noteikumi Nr. VA19TN0133. Vienlaikus ar Dienesta 2020. gada 30. oktobra lēmumu Nr. CS20VL0173 ir saskaņots SIA “DIIP” izstrādātais derīgo izrakteņu ieguves projekts smilts atradnei “Foreles”, līdz ar to tiek secināts, ka atradnē “Foreles” ir paredzēti derīgo </w:t>
            </w:r>
            <w:r w:rsidRPr="0053506A">
              <w:rPr>
                <w:rFonts w:ascii="Calibri" w:hAnsi="Calibri" w:cs="Calibri"/>
                <w:sz w:val="22"/>
                <w:szCs w:val="22"/>
              </w:rPr>
              <w:lastRenderedPageBreak/>
              <w:t>izrakteņu ieguves darbi. Ņemot vērā minēto, norādām, ka Ziņojumā pie savstarpējām un summārām ietekmēm nav vērtētas visas derīgo izrakteņu ieguves atradnes, kas ir paredzētās darbības vietas tuvumā, līdz ar to nav ievērots Vides pārraudzības valsts biroja 2022. gada 7. jūlija Programmas Nr. 5-03/19/2022 ietekmes uz vidi novērtējumam derīgo izrakteņu (smilts-grants, smilts un mālsmilts) ieguvei atradnē “Vālodzes” nekustamajā īpašumā “Vālodzes” Raunas pagastā, Smiltenes novadā 3.2.1. apakšpunkts.</w:t>
            </w:r>
          </w:p>
        </w:tc>
        <w:tc>
          <w:tcPr>
            <w:tcW w:w="1701" w:type="dxa"/>
          </w:tcPr>
          <w:p w14:paraId="121E576B" w14:textId="563FA866" w:rsidR="005D5384" w:rsidRPr="0053506A" w:rsidRDefault="009A3EC8" w:rsidP="007A090D">
            <w:pPr>
              <w:rPr>
                <w:rFonts w:ascii="Calibri" w:hAnsi="Calibri" w:cs="Calibri"/>
                <w:sz w:val="22"/>
                <w:szCs w:val="22"/>
              </w:rPr>
            </w:pPr>
            <w:r w:rsidRPr="0053506A">
              <w:rPr>
                <w:rFonts w:ascii="Calibri" w:hAnsi="Calibri" w:cs="Calibri"/>
                <w:sz w:val="22"/>
                <w:szCs w:val="22"/>
              </w:rPr>
              <w:lastRenderedPageBreak/>
              <w:t>Pilnveidota IVN Ziņojuma sadaļa “Citas derīgo izrakteņu atradnes un citi nozīmīgi objekti”</w:t>
            </w:r>
          </w:p>
        </w:tc>
        <w:tc>
          <w:tcPr>
            <w:tcW w:w="4664" w:type="dxa"/>
          </w:tcPr>
          <w:p w14:paraId="2AB03B13" w14:textId="3EA8C526" w:rsidR="005D5384" w:rsidRPr="0053506A" w:rsidRDefault="009A3EC8" w:rsidP="009A3EC8">
            <w:pPr>
              <w:rPr>
                <w:rFonts w:ascii="Calibri" w:hAnsi="Calibri" w:cs="Calibri"/>
                <w:sz w:val="22"/>
                <w:szCs w:val="22"/>
              </w:rPr>
            </w:pPr>
            <w:r w:rsidRPr="0053506A">
              <w:rPr>
                <w:rFonts w:ascii="Calibri" w:hAnsi="Calibri" w:cs="Calibri"/>
                <w:sz w:val="22"/>
                <w:szCs w:val="22"/>
              </w:rPr>
              <w:t xml:space="preserve">Vēršam uzmanību uz to, ka saskaņā ar LVĢMC Zemes dzīļu informācijas sistēmā ietverto informāciju atradnē Foreles derīgo izrakteņu ieguve līdz šim (2025.g. 15.marts) nav notikusi </w:t>
            </w:r>
            <w:hyperlink r:id="rId4" w:history="1">
              <w:r w:rsidRPr="0053506A">
                <w:rPr>
                  <w:rStyle w:val="Hyperlink"/>
                  <w:rFonts w:ascii="Calibri" w:hAnsi="Calibri" w:cs="Calibri"/>
                  <w:sz w:val="22"/>
                  <w:szCs w:val="22"/>
                </w:rPr>
                <w:t>https://izraktenis.lvgmc.lv/atradnes/B2989?tab=izmainas</w:t>
              </w:r>
            </w:hyperlink>
          </w:p>
          <w:p w14:paraId="310C69EE" w14:textId="57538A75" w:rsidR="009A3EC8" w:rsidRPr="0053506A" w:rsidRDefault="009A3EC8" w:rsidP="009A3EC8">
            <w:pPr>
              <w:rPr>
                <w:rFonts w:ascii="Calibri" w:hAnsi="Calibri" w:cs="Calibri"/>
                <w:sz w:val="22"/>
                <w:szCs w:val="22"/>
              </w:rPr>
            </w:pPr>
          </w:p>
        </w:tc>
      </w:tr>
      <w:tr w:rsidR="005D5384" w:rsidRPr="0053506A" w14:paraId="06570665" w14:textId="77777777" w:rsidTr="0053506A">
        <w:tc>
          <w:tcPr>
            <w:tcW w:w="495" w:type="dxa"/>
          </w:tcPr>
          <w:p w14:paraId="319F6BA3" w14:textId="32012203" w:rsidR="005D5384" w:rsidRPr="0053506A" w:rsidRDefault="009A3EC8" w:rsidP="007A090D">
            <w:pPr>
              <w:rPr>
                <w:rFonts w:ascii="Calibri" w:hAnsi="Calibri" w:cs="Calibri"/>
                <w:sz w:val="22"/>
                <w:szCs w:val="22"/>
              </w:rPr>
            </w:pPr>
            <w:r w:rsidRPr="0053506A">
              <w:rPr>
                <w:rFonts w:ascii="Calibri" w:hAnsi="Calibri" w:cs="Calibri"/>
                <w:sz w:val="22"/>
                <w:szCs w:val="22"/>
              </w:rPr>
              <w:t>8.</w:t>
            </w:r>
          </w:p>
        </w:tc>
        <w:tc>
          <w:tcPr>
            <w:tcW w:w="2761" w:type="dxa"/>
          </w:tcPr>
          <w:p w14:paraId="4BF12AA0" w14:textId="412B505A" w:rsidR="005D5384" w:rsidRPr="0053506A" w:rsidRDefault="009A3EC8" w:rsidP="007A090D">
            <w:pPr>
              <w:rPr>
                <w:rFonts w:ascii="Calibri" w:hAnsi="Calibri" w:cs="Calibri"/>
                <w:sz w:val="22"/>
                <w:szCs w:val="22"/>
              </w:rPr>
            </w:pPr>
            <w:r w:rsidRPr="0053506A">
              <w:rPr>
                <w:rFonts w:ascii="Calibri" w:hAnsi="Calibri" w:cs="Calibri"/>
                <w:sz w:val="22"/>
                <w:szCs w:val="22"/>
              </w:rPr>
              <w:t>Attiecībā uz veikto trokšņu izvērtējumu norādām, ka tekstuāli Trokšņu izplatības novērtējumā fona trokšņu emisijas no transporta ņemtas vērā, savukārt kartogrāfiskajos attēlos fona troksnis un troksnis no derīgo izrakteņu transportēšanas ārpus atradnes teritorijas nav atspoguļots.</w:t>
            </w:r>
          </w:p>
        </w:tc>
        <w:tc>
          <w:tcPr>
            <w:tcW w:w="1701" w:type="dxa"/>
          </w:tcPr>
          <w:p w14:paraId="7DFD10DE" w14:textId="5A32C3D6" w:rsidR="005D5384" w:rsidRPr="0053506A" w:rsidRDefault="009A3EC8" w:rsidP="007A090D">
            <w:pPr>
              <w:rPr>
                <w:rFonts w:ascii="Calibri" w:hAnsi="Calibri" w:cs="Calibri"/>
                <w:sz w:val="22"/>
                <w:szCs w:val="22"/>
              </w:rPr>
            </w:pPr>
            <w:r w:rsidRPr="0053506A">
              <w:rPr>
                <w:rFonts w:ascii="Calibri" w:hAnsi="Calibri" w:cs="Calibri"/>
                <w:sz w:val="22"/>
                <w:szCs w:val="22"/>
              </w:rPr>
              <w:t>Pārstrādāts LU veiktais trokšņu izplatības novērtējums (6.pielikums)</w:t>
            </w:r>
          </w:p>
        </w:tc>
        <w:tc>
          <w:tcPr>
            <w:tcW w:w="4664" w:type="dxa"/>
          </w:tcPr>
          <w:p w14:paraId="707CFF32" w14:textId="77777777" w:rsidR="005D5384" w:rsidRPr="0053506A" w:rsidRDefault="005D5384" w:rsidP="007A090D">
            <w:pPr>
              <w:rPr>
                <w:rFonts w:ascii="Calibri" w:hAnsi="Calibri" w:cs="Calibri"/>
                <w:sz w:val="22"/>
                <w:szCs w:val="22"/>
              </w:rPr>
            </w:pPr>
          </w:p>
        </w:tc>
      </w:tr>
      <w:tr w:rsidR="005D5384" w:rsidRPr="0053506A" w14:paraId="7B3DA213" w14:textId="77777777" w:rsidTr="0053506A">
        <w:tc>
          <w:tcPr>
            <w:tcW w:w="495" w:type="dxa"/>
          </w:tcPr>
          <w:p w14:paraId="539D1374" w14:textId="1646556C" w:rsidR="005D5384" w:rsidRPr="0053506A" w:rsidRDefault="009A3EC8" w:rsidP="007A090D">
            <w:pPr>
              <w:rPr>
                <w:rFonts w:ascii="Calibri" w:hAnsi="Calibri" w:cs="Calibri"/>
                <w:sz w:val="22"/>
                <w:szCs w:val="22"/>
              </w:rPr>
            </w:pPr>
            <w:r w:rsidRPr="0053506A">
              <w:rPr>
                <w:rFonts w:ascii="Calibri" w:hAnsi="Calibri" w:cs="Calibri"/>
                <w:sz w:val="22"/>
                <w:szCs w:val="22"/>
              </w:rPr>
              <w:t>9.</w:t>
            </w:r>
          </w:p>
        </w:tc>
        <w:tc>
          <w:tcPr>
            <w:tcW w:w="2761" w:type="dxa"/>
          </w:tcPr>
          <w:p w14:paraId="4C001CE9" w14:textId="27D3F3A5" w:rsidR="005D5384" w:rsidRPr="0053506A" w:rsidRDefault="009A3EC8" w:rsidP="007A090D">
            <w:pPr>
              <w:rPr>
                <w:rFonts w:ascii="Calibri" w:hAnsi="Calibri" w:cs="Calibri"/>
                <w:sz w:val="22"/>
                <w:szCs w:val="22"/>
              </w:rPr>
            </w:pPr>
            <w:r w:rsidRPr="0053506A">
              <w:rPr>
                <w:rFonts w:ascii="Calibri" w:hAnsi="Calibri" w:cs="Calibri"/>
                <w:sz w:val="22"/>
                <w:szCs w:val="22"/>
              </w:rPr>
              <w:t>Ziņojumā konstatējama pretrunīga informācija par aptuveno vidējo derīgā izrakteņa ieguves apjomu gadā. Ziņojuma 24., 33. un 107. lpp. vidējais derīgā izrakteņa ieguves apjoms norādīts ~100 000 m3/gadā, savukārt 32. un 39. lpp. attiecīgi  ~77 000 m3/gadā.</w:t>
            </w:r>
          </w:p>
        </w:tc>
        <w:tc>
          <w:tcPr>
            <w:tcW w:w="1701" w:type="dxa"/>
          </w:tcPr>
          <w:p w14:paraId="3B61F355" w14:textId="60C5C8F3" w:rsidR="005D5384" w:rsidRPr="0053506A" w:rsidRDefault="00FA4027" w:rsidP="007A090D">
            <w:pPr>
              <w:rPr>
                <w:rFonts w:ascii="Calibri" w:hAnsi="Calibri" w:cs="Calibri"/>
                <w:sz w:val="22"/>
                <w:szCs w:val="22"/>
              </w:rPr>
            </w:pPr>
            <w:r w:rsidRPr="0053506A">
              <w:rPr>
                <w:rFonts w:ascii="Calibri" w:hAnsi="Calibri" w:cs="Calibri"/>
                <w:sz w:val="22"/>
                <w:szCs w:val="22"/>
              </w:rPr>
              <w:t>Labota tehniskā kļūda IVN Ziņojuma 4.5.1.tabulā</w:t>
            </w:r>
          </w:p>
        </w:tc>
        <w:tc>
          <w:tcPr>
            <w:tcW w:w="4664" w:type="dxa"/>
          </w:tcPr>
          <w:p w14:paraId="37C0D1CE" w14:textId="77777777" w:rsidR="005D5384" w:rsidRPr="0053506A" w:rsidRDefault="005D5384" w:rsidP="007A090D">
            <w:pPr>
              <w:rPr>
                <w:rFonts w:ascii="Calibri" w:hAnsi="Calibri" w:cs="Calibri"/>
                <w:sz w:val="22"/>
                <w:szCs w:val="22"/>
              </w:rPr>
            </w:pPr>
          </w:p>
        </w:tc>
      </w:tr>
      <w:tr w:rsidR="005D5384" w:rsidRPr="0053506A" w14:paraId="372136E1" w14:textId="77777777" w:rsidTr="0053506A">
        <w:tc>
          <w:tcPr>
            <w:tcW w:w="495" w:type="dxa"/>
          </w:tcPr>
          <w:p w14:paraId="067FB5BB" w14:textId="0C2D001C" w:rsidR="005D5384" w:rsidRPr="0053506A" w:rsidRDefault="00FA4027" w:rsidP="007A090D">
            <w:pPr>
              <w:rPr>
                <w:rFonts w:ascii="Calibri" w:hAnsi="Calibri" w:cs="Calibri"/>
                <w:sz w:val="22"/>
                <w:szCs w:val="22"/>
              </w:rPr>
            </w:pPr>
            <w:r w:rsidRPr="0053506A">
              <w:rPr>
                <w:rFonts w:ascii="Calibri" w:hAnsi="Calibri" w:cs="Calibri"/>
                <w:sz w:val="22"/>
                <w:szCs w:val="22"/>
              </w:rPr>
              <w:t>10</w:t>
            </w:r>
          </w:p>
        </w:tc>
        <w:tc>
          <w:tcPr>
            <w:tcW w:w="2761" w:type="dxa"/>
          </w:tcPr>
          <w:p w14:paraId="6C6B801A" w14:textId="642AC0A6" w:rsidR="005D5384" w:rsidRPr="0053506A" w:rsidRDefault="00FA4027" w:rsidP="007A090D">
            <w:pPr>
              <w:rPr>
                <w:rFonts w:ascii="Calibri" w:hAnsi="Calibri" w:cs="Calibri"/>
                <w:sz w:val="22"/>
                <w:szCs w:val="22"/>
              </w:rPr>
            </w:pPr>
            <w:r w:rsidRPr="0053506A">
              <w:rPr>
                <w:rFonts w:ascii="Calibri" w:hAnsi="Calibri" w:cs="Calibri"/>
                <w:sz w:val="22"/>
                <w:szCs w:val="22"/>
              </w:rPr>
              <w:t xml:space="preserve">Ziņojumā konstatējama pretrunīga informācija par kravas automašīnu reisu skaitu dienā. Ziņojuma 32. lpp. norādīts, ka plānoti aptuveni 66 kravas mašīnu reisi dienā, savukārt atbilstoši 39. lpp. esošajai </w:t>
            </w:r>
            <w:r w:rsidRPr="0053506A">
              <w:rPr>
                <w:rFonts w:ascii="Calibri" w:hAnsi="Calibri" w:cs="Calibri"/>
                <w:sz w:val="22"/>
                <w:szCs w:val="22"/>
              </w:rPr>
              <w:lastRenderedPageBreak/>
              <w:t>4.6.1. tabulai reisu skaits plānots aptuveni 47 reisi dienā.</w:t>
            </w:r>
          </w:p>
        </w:tc>
        <w:tc>
          <w:tcPr>
            <w:tcW w:w="1701" w:type="dxa"/>
          </w:tcPr>
          <w:p w14:paraId="731E55FC" w14:textId="7E538FEE" w:rsidR="005D5384" w:rsidRPr="0053506A" w:rsidRDefault="00EA7BC8" w:rsidP="007A090D">
            <w:pPr>
              <w:rPr>
                <w:rFonts w:ascii="Calibri" w:hAnsi="Calibri" w:cs="Calibri"/>
                <w:sz w:val="22"/>
                <w:szCs w:val="22"/>
              </w:rPr>
            </w:pPr>
            <w:r w:rsidRPr="0053506A">
              <w:rPr>
                <w:rFonts w:ascii="Calibri" w:hAnsi="Calibri" w:cs="Calibri"/>
                <w:sz w:val="22"/>
                <w:szCs w:val="22"/>
              </w:rPr>
              <w:lastRenderedPageBreak/>
              <w:t>Precizēts IVN Ziņojums</w:t>
            </w:r>
          </w:p>
        </w:tc>
        <w:tc>
          <w:tcPr>
            <w:tcW w:w="4664" w:type="dxa"/>
          </w:tcPr>
          <w:p w14:paraId="6DD59E27" w14:textId="7D87BB3E" w:rsidR="005D5384" w:rsidRPr="0053506A" w:rsidRDefault="00EA7BC8" w:rsidP="007A090D">
            <w:pPr>
              <w:rPr>
                <w:rFonts w:ascii="Calibri" w:hAnsi="Calibri" w:cs="Calibri"/>
                <w:sz w:val="22"/>
                <w:szCs w:val="22"/>
              </w:rPr>
            </w:pPr>
            <w:r w:rsidRPr="0053506A">
              <w:rPr>
                <w:rFonts w:ascii="Calibri" w:hAnsi="Calibri" w:cs="Calibri"/>
                <w:sz w:val="22"/>
                <w:szCs w:val="22"/>
              </w:rPr>
              <w:t xml:space="preserve">Materiāla izvešana notiek saskaņā ar pieprasījumu un ir mainīga kā gada tā dienu griezumā. Prognozēts ka maksimālais </w:t>
            </w:r>
            <w:proofErr w:type="spellStart"/>
            <w:r w:rsidRPr="0053506A">
              <w:rPr>
                <w:rFonts w:ascii="Calibri" w:hAnsi="Calibri" w:cs="Calibri"/>
                <w:sz w:val="22"/>
                <w:szCs w:val="22"/>
              </w:rPr>
              <w:t>autoreisu</w:t>
            </w:r>
            <w:proofErr w:type="spellEnd"/>
            <w:r w:rsidRPr="0053506A">
              <w:rPr>
                <w:rFonts w:ascii="Calibri" w:hAnsi="Calibri" w:cs="Calibri"/>
                <w:sz w:val="22"/>
                <w:szCs w:val="22"/>
              </w:rPr>
              <w:t xml:space="preserve"> skaits dienā var sasniegt 40 automašīnas</w:t>
            </w:r>
          </w:p>
        </w:tc>
      </w:tr>
      <w:tr w:rsidR="005D5384" w:rsidRPr="0053506A" w14:paraId="13340B8D" w14:textId="77777777" w:rsidTr="0053506A">
        <w:tc>
          <w:tcPr>
            <w:tcW w:w="495" w:type="dxa"/>
          </w:tcPr>
          <w:p w14:paraId="10432132" w14:textId="4746E4E4" w:rsidR="005D5384" w:rsidRPr="0053506A" w:rsidRDefault="00EA7BC8" w:rsidP="007A090D">
            <w:pPr>
              <w:rPr>
                <w:rFonts w:ascii="Calibri" w:hAnsi="Calibri" w:cs="Calibri"/>
                <w:sz w:val="22"/>
                <w:szCs w:val="22"/>
              </w:rPr>
            </w:pPr>
            <w:r w:rsidRPr="0053506A">
              <w:rPr>
                <w:rFonts w:ascii="Calibri" w:hAnsi="Calibri" w:cs="Calibri"/>
                <w:sz w:val="22"/>
                <w:szCs w:val="22"/>
              </w:rPr>
              <w:t>11.</w:t>
            </w:r>
          </w:p>
        </w:tc>
        <w:tc>
          <w:tcPr>
            <w:tcW w:w="2761" w:type="dxa"/>
          </w:tcPr>
          <w:p w14:paraId="7A5D2B44" w14:textId="721D5D1B" w:rsidR="005D5384" w:rsidRPr="0053506A" w:rsidRDefault="00EA7BC8" w:rsidP="007A090D">
            <w:pPr>
              <w:rPr>
                <w:rFonts w:ascii="Calibri" w:hAnsi="Calibri" w:cs="Calibri"/>
                <w:sz w:val="22"/>
                <w:szCs w:val="22"/>
              </w:rPr>
            </w:pPr>
            <w:r w:rsidRPr="0053506A">
              <w:rPr>
                <w:rFonts w:ascii="Calibri" w:hAnsi="Calibri" w:cs="Calibri"/>
                <w:sz w:val="22"/>
                <w:szCs w:val="22"/>
              </w:rPr>
              <w:t>Ziņojuma 33. lpp. norādīts, ka Tiks izmantotas arī vieglās automašīnas (darbinieku personīgais transports), dienas laikā iebrauks/izbrauks vidēji 3 automašīnas. Kopumā tiek plānots, ka dienas laikā pēc materiāla varētu iebraukt/izbraukt ap 20 automašīnām. No minētās informācijas nav saprotams, kas tās par 20 automašīnām, kas varētu iebraukt/izbraukt pēc materiāla.</w:t>
            </w:r>
          </w:p>
        </w:tc>
        <w:tc>
          <w:tcPr>
            <w:tcW w:w="1701" w:type="dxa"/>
          </w:tcPr>
          <w:p w14:paraId="6351C111" w14:textId="7A327EB6" w:rsidR="005D5384" w:rsidRPr="0053506A" w:rsidRDefault="00EA7BC8" w:rsidP="007A090D">
            <w:pPr>
              <w:rPr>
                <w:rFonts w:ascii="Calibri" w:hAnsi="Calibri" w:cs="Calibri"/>
                <w:sz w:val="22"/>
                <w:szCs w:val="22"/>
              </w:rPr>
            </w:pPr>
            <w:r w:rsidRPr="0053506A">
              <w:rPr>
                <w:rFonts w:ascii="Calibri" w:hAnsi="Calibri" w:cs="Calibri"/>
                <w:sz w:val="22"/>
                <w:szCs w:val="22"/>
              </w:rPr>
              <w:t>Precizēts IVN Ziņojums</w:t>
            </w:r>
          </w:p>
        </w:tc>
        <w:tc>
          <w:tcPr>
            <w:tcW w:w="4664" w:type="dxa"/>
          </w:tcPr>
          <w:p w14:paraId="5268A2A2" w14:textId="68F92492" w:rsidR="005D5384" w:rsidRPr="0053506A" w:rsidRDefault="00EA7BC8" w:rsidP="007A090D">
            <w:pPr>
              <w:rPr>
                <w:rFonts w:ascii="Calibri" w:hAnsi="Calibri" w:cs="Calibri"/>
                <w:sz w:val="22"/>
                <w:szCs w:val="22"/>
              </w:rPr>
            </w:pPr>
            <w:r w:rsidRPr="0053506A">
              <w:rPr>
                <w:rFonts w:ascii="Calibri" w:hAnsi="Calibri" w:cs="Calibri"/>
                <w:sz w:val="22"/>
                <w:szCs w:val="22"/>
              </w:rPr>
              <w:t xml:space="preserve">Materiāla izvešana notiek saskaņā ar pieprasījumu un ir mainīga kā gada tā dienu griezumā. Prognozēts ka maksimālais </w:t>
            </w:r>
            <w:proofErr w:type="spellStart"/>
            <w:r w:rsidRPr="0053506A">
              <w:rPr>
                <w:rFonts w:ascii="Calibri" w:hAnsi="Calibri" w:cs="Calibri"/>
                <w:sz w:val="22"/>
                <w:szCs w:val="22"/>
              </w:rPr>
              <w:t>autoreisu</w:t>
            </w:r>
            <w:proofErr w:type="spellEnd"/>
            <w:r w:rsidRPr="0053506A">
              <w:rPr>
                <w:rFonts w:ascii="Calibri" w:hAnsi="Calibri" w:cs="Calibri"/>
                <w:sz w:val="22"/>
                <w:szCs w:val="22"/>
              </w:rPr>
              <w:t xml:space="preserve"> skaits dienā var sasniegt 40 automašīnas</w:t>
            </w:r>
          </w:p>
        </w:tc>
      </w:tr>
      <w:tr w:rsidR="005D5384" w:rsidRPr="0053506A" w14:paraId="47C3D4D1" w14:textId="77777777" w:rsidTr="0053506A">
        <w:tc>
          <w:tcPr>
            <w:tcW w:w="495" w:type="dxa"/>
          </w:tcPr>
          <w:p w14:paraId="4EABECE0" w14:textId="7933CFBB" w:rsidR="005D5384" w:rsidRPr="0053506A" w:rsidRDefault="00EA7BC8" w:rsidP="007A090D">
            <w:pPr>
              <w:rPr>
                <w:rFonts w:ascii="Calibri" w:hAnsi="Calibri" w:cs="Calibri"/>
                <w:sz w:val="22"/>
                <w:szCs w:val="22"/>
              </w:rPr>
            </w:pPr>
            <w:r w:rsidRPr="0053506A">
              <w:rPr>
                <w:rFonts w:ascii="Calibri" w:hAnsi="Calibri" w:cs="Calibri"/>
                <w:sz w:val="22"/>
                <w:szCs w:val="22"/>
              </w:rPr>
              <w:t>12.</w:t>
            </w:r>
          </w:p>
        </w:tc>
        <w:tc>
          <w:tcPr>
            <w:tcW w:w="2761" w:type="dxa"/>
          </w:tcPr>
          <w:p w14:paraId="0293629F" w14:textId="77543203" w:rsidR="00EA7BC8" w:rsidRPr="0053506A" w:rsidRDefault="00EA7BC8" w:rsidP="00EA7BC8">
            <w:pPr>
              <w:rPr>
                <w:rFonts w:ascii="Calibri" w:hAnsi="Calibri" w:cs="Calibri"/>
                <w:sz w:val="22"/>
                <w:szCs w:val="22"/>
              </w:rPr>
            </w:pPr>
            <w:r w:rsidRPr="0053506A">
              <w:rPr>
                <w:rFonts w:ascii="Calibri" w:hAnsi="Calibri" w:cs="Calibri"/>
                <w:sz w:val="22"/>
                <w:szCs w:val="22"/>
              </w:rPr>
              <w:t xml:space="preserve">Rekultivācijas 2.2. alternatīva paredz visas karjera pamatnes paaugstināšanu (uzbēršanu) izmantojot atsiju materiālu, un inertus/reģenerētus būvniecības atkritumus (atbilstoši Ministru kabineta 2021. gada 26. oktobra noteikumos Nr. 712. “Atkritumu dalītas savākšanas, sagatavošanas atkārtotai izmantošanai, pārstrādes un materiālu reģenerācijas noteikumi” (turpmāk – MK noteikumi Nr. 712) definētajām prasībām). Dienests norāda, ka MK noteikumu Nr. 712 7. punkts  reglamentē būvniecības atkritumu (kas atbilst minētā punkta prasībām un 1. pielikuma atkritumu klasēm) izmantošanu izraktu </w:t>
            </w:r>
            <w:proofErr w:type="spellStart"/>
            <w:r w:rsidRPr="0053506A">
              <w:rPr>
                <w:rFonts w:ascii="Calibri" w:hAnsi="Calibri" w:cs="Calibri"/>
                <w:sz w:val="22"/>
                <w:szCs w:val="22"/>
              </w:rPr>
              <w:t>tilpju</w:t>
            </w:r>
            <w:proofErr w:type="spellEnd"/>
            <w:r w:rsidRPr="0053506A">
              <w:rPr>
                <w:rFonts w:ascii="Calibri" w:hAnsi="Calibri" w:cs="Calibri"/>
                <w:sz w:val="22"/>
                <w:szCs w:val="22"/>
              </w:rPr>
              <w:t xml:space="preserve"> aizpildīšanai, bet ne teritoriju paaugstināšanai (uzbēršanai) ar būvniecības atkritumiem.</w:t>
            </w:r>
          </w:p>
          <w:p w14:paraId="34AB203F" w14:textId="6B3B24E8" w:rsidR="005D5384" w:rsidRPr="0053506A" w:rsidRDefault="00EA7BC8" w:rsidP="00EA7BC8">
            <w:pPr>
              <w:rPr>
                <w:rFonts w:ascii="Calibri" w:hAnsi="Calibri" w:cs="Calibri"/>
                <w:sz w:val="22"/>
                <w:szCs w:val="22"/>
              </w:rPr>
            </w:pPr>
            <w:r w:rsidRPr="0053506A">
              <w:rPr>
                <w:rFonts w:ascii="Calibri" w:hAnsi="Calibri" w:cs="Calibri"/>
                <w:sz w:val="22"/>
                <w:szCs w:val="22"/>
              </w:rPr>
              <w:t xml:space="preserve">Gadījumā, ja būtu konstatējams, ka izstrādātā atradne atbilst izraktai </w:t>
            </w:r>
            <w:proofErr w:type="spellStart"/>
            <w:r w:rsidRPr="0053506A">
              <w:rPr>
                <w:rFonts w:ascii="Calibri" w:hAnsi="Calibri" w:cs="Calibri"/>
                <w:sz w:val="22"/>
                <w:szCs w:val="22"/>
              </w:rPr>
              <w:t>tilpei</w:t>
            </w:r>
            <w:proofErr w:type="spellEnd"/>
            <w:r w:rsidRPr="0053506A">
              <w:rPr>
                <w:rFonts w:ascii="Calibri" w:hAnsi="Calibri" w:cs="Calibri"/>
                <w:sz w:val="22"/>
                <w:szCs w:val="22"/>
              </w:rPr>
              <w:t xml:space="preserve">, </w:t>
            </w:r>
            <w:r w:rsidRPr="0053506A">
              <w:rPr>
                <w:rFonts w:ascii="Calibri" w:hAnsi="Calibri" w:cs="Calibri"/>
                <w:sz w:val="22"/>
                <w:szCs w:val="22"/>
              </w:rPr>
              <w:lastRenderedPageBreak/>
              <w:t>un rekultivācijas rezultātā būtu paredzēta izstrādātās atradnes aizbēršana, lai nepieļautu neatbilstošu materiālu izmantošanu atradnes rekultivācijai, novērstu vides piesārņošanu un nodrošinātu teritorijas izmantošanas iespējamību nākotnē,</w:t>
            </w:r>
          </w:p>
        </w:tc>
        <w:tc>
          <w:tcPr>
            <w:tcW w:w="1701" w:type="dxa"/>
          </w:tcPr>
          <w:p w14:paraId="2400E6AF" w14:textId="36044170" w:rsidR="005D5384" w:rsidRPr="0053506A" w:rsidRDefault="006D1C31" w:rsidP="007A090D">
            <w:pPr>
              <w:rPr>
                <w:rFonts w:ascii="Calibri" w:hAnsi="Calibri" w:cs="Calibri"/>
                <w:sz w:val="22"/>
                <w:szCs w:val="22"/>
              </w:rPr>
            </w:pPr>
            <w:r>
              <w:rPr>
                <w:rFonts w:ascii="Calibri" w:hAnsi="Calibri" w:cs="Calibri"/>
                <w:sz w:val="22"/>
                <w:szCs w:val="22"/>
              </w:rPr>
              <w:lastRenderedPageBreak/>
              <w:t>Pilnveidota IVN Ziņojuma sadaļa 4.7. Alternatīvie tehnoloģiskie risinājumi</w:t>
            </w:r>
          </w:p>
        </w:tc>
        <w:tc>
          <w:tcPr>
            <w:tcW w:w="4664" w:type="dxa"/>
          </w:tcPr>
          <w:p w14:paraId="1243299C" w14:textId="79ACF63B" w:rsidR="00EA7BC8" w:rsidRPr="0053506A" w:rsidRDefault="00EA7BC8" w:rsidP="007A090D">
            <w:pPr>
              <w:rPr>
                <w:rFonts w:ascii="Calibri" w:hAnsi="Calibri" w:cs="Calibri"/>
                <w:sz w:val="22"/>
                <w:szCs w:val="22"/>
              </w:rPr>
            </w:pPr>
            <w:r w:rsidRPr="0053506A">
              <w:rPr>
                <w:rFonts w:ascii="Calibri" w:hAnsi="Calibri" w:cs="Calibri"/>
                <w:sz w:val="22"/>
                <w:szCs w:val="22"/>
              </w:rPr>
              <w:t xml:space="preserve">Vēršam Jūsu uzmanību uz to, ka saskaņā ar Ministru kabineta 2021. gada 26. oktobra noteikumos Nr. 712. “Atkritumu dalītas savākšanas, sagatavošanas atkārtotai izmantošanai, pārstrādes un materiālu reģenerācijas noteikumi” 7. punktā noteikto “Šo noteikumu izpratnē izrakto </w:t>
            </w:r>
            <w:proofErr w:type="spellStart"/>
            <w:r w:rsidRPr="0053506A">
              <w:rPr>
                <w:rFonts w:ascii="Calibri" w:hAnsi="Calibri" w:cs="Calibri"/>
                <w:sz w:val="22"/>
                <w:szCs w:val="22"/>
              </w:rPr>
              <w:t>tilpju</w:t>
            </w:r>
            <w:proofErr w:type="spellEnd"/>
            <w:r w:rsidRPr="0053506A">
              <w:rPr>
                <w:rFonts w:ascii="Calibri" w:hAnsi="Calibri" w:cs="Calibri"/>
                <w:sz w:val="22"/>
                <w:szCs w:val="22"/>
              </w:rPr>
              <w:t xml:space="preserve"> aizpildīšana ir jebkāda reģenerācijas darbība, lai piemērotus atkritumus, kas nav bīstami, izmantotu izraktu teritoriju atjaunošanai vai inženiertehniskām vajadzībām ainavu veidošanā vai būvniecībā (izraktu </w:t>
            </w:r>
            <w:proofErr w:type="spellStart"/>
            <w:r w:rsidRPr="0053506A">
              <w:rPr>
                <w:rFonts w:ascii="Calibri" w:hAnsi="Calibri" w:cs="Calibri"/>
                <w:sz w:val="22"/>
                <w:szCs w:val="22"/>
              </w:rPr>
              <w:t>tilpju</w:t>
            </w:r>
            <w:proofErr w:type="spellEnd"/>
            <w:r w:rsidRPr="0053506A">
              <w:rPr>
                <w:rFonts w:ascii="Calibri" w:hAnsi="Calibri" w:cs="Calibri"/>
                <w:sz w:val="22"/>
                <w:szCs w:val="22"/>
              </w:rPr>
              <w:t xml:space="preserve"> aizpildīšanā).</w:t>
            </w:r>
            <w:r w:rsidR="0002680C" w:rsidRPr="0053506A">
              <w:rPr>
                <w:rFonts w:ascii="Calibri" w:hAnsi="Calibri" w:cs="Calibri"/>
                <w:sz w:val="22"/>
                <w:szCs w:val="22"/>
              </w:rPr>
              <w:t>” Tādējādi izrakta karjera teritorijas atjaunošana atbilst atļautajam reģenerētu inerto atkritumu izmantošanas veidam.</w:t>
            </w:r>
          </w:p>
          <w:p w14:paraId="519E7A3A" w14:textId="192F7A83" w:rsidR="005D5384" w:rsidRPr="0053506A" w:rsidRDefault="005D5384" w:rsidP="007A090D">
            <w:pPr>
              <w:rPr>
                <w:rFonts w:ascii="Calibri" w:hAnsi="Calibri" w:cs="Calibri"/>
                <w:sz w:val="22"/>
                <w:szCs w:val="22"/>
              </w:rPr>
            </w:pPr>
          </w:p>
        </w:tc>
      </w:tr>
      <w:tr w:rsidR="005D5384" w:rsidRPr="0053506A" w14:paraId="68245AD0" w14:textId="77777777" w:rsidTr="0053506A">
        <w:tc>
          <w:tcPr>
            <w:tcW w:w="495" w:type="dxa"/>
          </w:tcPr>
          <w:p w14:paraId="3EC83649" w14:textId="77777777" w:rsidR="005D5384" w:rsidRPr="0053506A" w:rsidRDefault="005D5384" w:rsidP="007A090D">
            <w:pPr>
              <w:rPr>
                <w:rFonts w:ascii="Calibri" w:hAnsi="Calibri" w:cs="Calibri"/>
                <w:sz w:val="22"/>
                <w:szCs w:val="22"/>
              </w:rPr>
            </w:pPr>
          </w:p>
        </w:tc>
        <w:tc>
          <w:tcPr>
            <w:tcW w:w="2761" w:type="dxa"/>
          </w:tcPr>
          <w:p w14:paraId="78282BBF" w14:textId="77777777" w:rsidR="0002680C" w:rsidRPr="0053506A" w:rsidRDefault="0002680C" w:rsidP="0002680C">
            <w:pPr>
              <w:rPr>
                <w:rFonts w:ascii="Calibri" w:hAnsi="Calibri" w:cs="Calibri"/>
                <w:sz w:val="22"/>
                <w:szCs w:val="22"/>
              </w:rPr>
            </w:pPr>
            <w:r w:rsidRPr="0053506A">
              <w:rPr>
                <w:rFonts w:ascii="Calibri" w:hAnsi="Calibri" w:cs="Calibri"/>
                <w:sz w:val="22"/>
                <w:szCs w:val="22"/>
              </w:rPr>
              <w:t>12.1.</w:t>
            </w:r>
            <w:r w:rsidRPr="0053506A">
              <w:rPr>
                <w:rFonts w:ascii="Calibri" w:hAnsi="Calibri" w:cs="Calibri"/>
                <w:sz w:val="22"/>
                <w:szCs w:val="22"/>
              </w:rPr>
              <w:tab/>
              <w:t xml:space="preserve">Atradnes rekultivācijai drīkst izmantot vienīgi dabas resursus (t.sk. </w:t>
            </w:r>
            <w:proofErr w:type="spellStart"/>
            <w:r w:rsidRPr="0053506A">
              <w:rPr>
                <w:rFonts w:ascii="Calibri" w:hAnsi="Calibri" w:cs="Calibri"/>
                <w:sz w:val="22"/>
                <w:szCs w:val="22"/>
              </w:rPr>
              <w:t>tehnogēnos</w:t>
            </w:r>
            <w:proofErr w:type="spellEnd"/>
            <w:r w:rsidRPr="0053506A">
              <w:rPr>
                <w:rFonts w:ascii="Calibri" w:hAnsi="Calibri" w:cs="Calibri"/>
                <w:sz w:val="22"/>
                <w:szCs w:val="22"/>
              </w:rPr>
              <w:t xml:space="preserve"> nogulumus), kuri neatbilst atkritumu statusam, un tādus būvniecības un būvju nojaukšanas atkritumus, kas atbilst MK noteikumu Nr. 712 7. punktā minētajām prasībām un 1. pielikumā minētajām atkritumu klasēm.</w:t>
            </w:r>
          </w:p>
          <w:p w14:paraId="38233CA4" w14:textId="77777777" w:rsidR="0002680C" w:rsidRPr="0053506A" w:rsidRDefault="0002680C" w:rsidP="0002680C">
            <w:pPr>
              <w:rPr>
                <w:rFonts w:ascii="Calibri" w:hAnsi="Calibri" w:cs="Calibri"/>
                <w:sz w:val="22"/>
                <w:szCs w:val="22"/>
              </w:rPr>
            </w:pPr>
            <w:r w:rsidRPr="0053506A">
              <w:rPr>
                <w:rFonts w:ascii="Calibri" w:hAnsi="Calibri" w:cs="Calibri"/>
                <w:sz w:val="22"/>
                <w:szCs w:val="22"/>
              </w:rPr>
              <w:t>12.2.</w:t>
            </w:r>
            <w:r w:rsidRPr="0053506A">
              <w:rPr>
                <w:rFonts w:ascii="Calibri" w:hAnsi="Calibri" w:cs="Calibri"/>
                <w:sz w:val="22"/>
                <w:szCs w:val="22"/>
              </w:rPr>
              <w:tab/>
              <w:t xml:space="preserve">pirms rekultivācijas darbu uzsākšanas nepieciešams veikt </w:t>
            </w:r>
            <w:proofErr w:type="spellStart"/>
            <w:r w:rsidRPr="0053506A">
              <w:rPr>
                <w:rFonts w:ascii="Calibri" w:hAnsi="Calibri" w:cs="Calibri"/>
                <w:sz w:val="22"/>
                <w:szCs w:val="22"/>
              </w:rPr>
              <w:t>ģeoekoloģisko</w:t>
            </w:r>
            <w:proofErr w:type="spellEnd"/>
            <w:r w:rsidRPr="0053506A">
              <w:rPr>
                <w:rFonts w:ascii="Calibri" w:hAnsi="Calibri" w:cs="Calibri"/>
                <w:sz w:val="22"/>
                <w:szCs w:val="22"/>
              </w:rPr>
              <w:t xml:space="preserve"> izpēti grunts kvalitātes novērtēšanai. Pirms izpētes darbu uzsākšanas, </w:t>
            </w:r>
            <w:proofErr w:type="spellStart"/>
            <w:r w:rsidRPr="0053506A">
              <w:rPr>
                <w:rFonts w:ascii="Calibri" w:hAnsi="Calibri" w:cs="Calibri"/>
                <w:sz w:val="22"/>
                <w:szCs w:val="22"/>
              </w:rPr>
              <w:t>ģeoekoloģiskās</w:t>
            </w:r>
            <w:proofErr w:type="spellEnd"/>
            <w:r w:rsidRPr="0053506A">
              <w:rPr>
                <w:rFonts w:ascii="Calibri" w:hAnsi="Calibri" w:cs="Calibri"/>
                <w:sz w:val="22"/>
                <w:szCs w:val="22"/>
              </w:rPr>
              <w:t xml:space="preserve"> izpētes darbu programma ir saskaņojama ar Dienestu. Atradnes rekultivācijā izmantojamo materiālu kvalitāte nedrīkst pārsniegt attiecīgo piesārņojošo vielu fona koncentrācijas atradnes teritorijā. Vienlaikus piesārņojošo vielu koncentrācija atradnes rekultivācijā izmantojamos dabas resursos (t.sk. </w:t>
            </w:r>
            <w:proofErr w:type="spellStart"/>
            <w:r w:rsidRPr="0053506A">
              <w:rPr>
                <w:rFonts w:ascii="Calibri" w:hAnsi="Calibri" w:cs="Calibri"/>
                <w:sz w:val="22"/>
                <w:szCs w:val="22"/>
              </w:rPr>
              <w:t>tehnogēnos</w:t>
            </w:r>
            <w:proofErr w:type="spellEnd"/>
            <w:r w:rsidRPr="0053506A">
              <w:rPr>
                <w:rFonts w:ascii="Calibri" w:hAnsi="Calibri" w:cs="Calibri"/>
                <w:sz w:val="22"/>
                <w:szCs w:val="22"/>
              </w:rPr>
              <w:t xml:space="preserve"> nogulumos), kuri neatbilst atkritumu statusam, un atkritumos ar klases kodu 170508 nedrīkst pārsniegt Ministru kabineta 2005. gada 25. oktobra noteikumu Nr. 804 “Noteikumi par augsnes un grunts kvalitātes </w:t>
            </w:r>
            <w:r w:rsidRPr="0053506A">
              <w:rPr>
                <w:rFonts w:ascii="Calibri" w:hAnsi="Calibri" w:cs="Calibri"/>
                <w:sz w:val="22"/>
                <w:szCs w:val="22"/>
              </w:rPr>
              <w:lastRenderedPageBreak/>
              <w:t xml:space="preserve">normatīviem” 1. pielikuma 1. tabulā noteiktos piesardzības robežlielumus (B vērtību) un 2. tabulā noteiktos </w:t>
            </w:r>
            <w:proofErr w:type="spellStart"/>
            <w:r w:rsidRPr="0053506A">
              <w:rPr>
                <w:rFonts w:ascii="Calibri" w:hAnsi="Calibri" w:cs="Calibri"/>
                <w:sz w:val="22"/>
                <w:szCs w:val="22"/>
              </w:rPr>
              <w:t>mērķlielumus</w:t>
            </w:r>
            <w:proofErr w:type="spellEnd"/>
            <w:r w:rsidRPr="0053506A">
              <w:rPr>
                <w:rFonts w:ascii="Calibri" w:hAnsi="Calibri" w:cs="Calibri"/>
                <w:sz w:val="22"/>
                <w:szCs w:val="22"/>
              </w:rPr>
              <w:t xml:space="preserve"> (A vērtību). </w:t>
            </w:r>
          </w:p>
          <w:p w14:paraId="3ADA3BF7" w14:textId="77777777" w:rsidR="0002680C" w:rsidRPr="0053506A" w:rsidRDefault="0002680C" w:rsidP="0002680C">
            <w:pPr>
              <w:rPr>
                <w:rFonts w:ascii="Calibri" w:hAnsi="Calibri" w:cs="Calibri"/>
                <w:sz w:val="22"/>
                <w:szCs w:val="22"/>
              </w:rPr>
            </w:pPr>
            <w:r w:rsidRPr="0053506A">
              <w:rPr>
                <w:rFonts w:ascii="Calibri" w:hAnsi="Calibri" w:cs="Calibri"/>
                <w:sz w:val="22"/>
                <w:szCs w:val="22"/>
              </w:rPr>
              <w:t>12.3.</w:t>
            </w:r>
            <w:r w:rsidRPr="0053506A">
              <w:rPr>
                <w:rFonts w:ascii="Calibri" w:hAnsi="Calibri" w:cs="Calibri"/>
                <w:sz w:val="22"/>
                <w:szCs w:val="22"/>
              </w:rPr>
              <w:tab/>
              <w:t>rekultivācijai izmantojamā materiāla kvalitāte jānosaka pirms tā ievešanas Atradnē no ikviena objekta. Testēšana jāveic tādam rekultivācijā izmantojamā materiāla apjomam no ikviena objekta, kas ļauj izdarīt objektīvus secinājumus par ievedamā materiāla kvalitāti.</w:t>
            </w:r>
          </w:p>
          <w:p w14:paraId="21D758A0" w14:textId="613B4B25" w:rsidR="005D5384" w:rsidRPr="0053506A" w:rsidRDefault="0002680C" w:rsidP="0002680C">
            <w:pPr>
              <w:rPr>
                <w:rFonts w:ascii="Calibri" w:hAnsi="Calibri" w:cs="Calibri"/>
                <w:sz w:val="22"/>
                <w:szCs w:val="22"/>
              </w:rPr>
            </w:pPr>
            <w:r w:rsidRPr="0053506A">
              <w:rPr>
                <w:rFonts w:ascii="Calibri" w:hAnsi="Calibri" w:cs="Calibri"/>
                <w:sz w:val="22"/>
                <w:szCs w:val="22"/>
              </w:rPr>
              <w:t>12.4.</w:t>
            </w:r>
            <w:r w:rsidRPr="0053506A">
              <w:rPr>
                <w:rFonts w:ascii="Calibri" w:hAnsi="Calibri" w:cs="Calibri"/>
                <w:sz w:val="22"/>
                <w:szCs w:val="22"/>
              </w:rPr>
              <w:tab/>
              <w:t>Atradnes rekultivācija pieļaujama pēc derīgo izrakteņu izstrādes visā ieguves laukuma platībā. Derīgo izrakteņu ieguves projektā jāietver detālu rekultivācijas darbu risinājumu aprakstu (t.sk. darbu secība).</w:t>
            </w:r>
          </w:p>
        </w:tc>
        <w:tc>
          <w:tcPr>
            <w:tcW w:w="1701" w:type="dxa"/>
          </w:tcPr>
          <w:p w14:paraId="5D6FBE40" w14:textId="1C02B289" w:rsidR="005D5384" w:rsidRPr="0053506A" w:rsidRDefault="0002680C" w:rsidP="007A090D">
            <w:pPr>
              <w:rPr>
                <w:rFonts w:ascii="Calibri" w:hAnsi="Calibri" w:cs="Calibri"/>
                <w:sz w:val="22"/>
                <w:szCs w:val="22"/>
              </w:rPr>
            </w:pPr>
            <w:r w:rsidRPr="0053506A">
              <w:rPr>
                <w:rFonts w:ascii="Calibri" w:hAnsi="Calibri" w:cs="Calibri"/>
                <w:sz w:val="22"/>
                <w:szCs w:val="22"/>
              </w:rPr>
              <w:lastRenderedPageBreak/>
              <w:t>Prasības tiks ņemtas vērā izstrādājot Karjera rekultivācijas projektu</w:t>
            </w:r>
          </w:p>
        </w:tc>
        <w:tc>
          <w:tcPr>
            <w:tcW w:w="4664" w:type="dxa"/>
          </w:tcPr>
          <w:p w14:paraId="22E28C12" w14:textId="77777777" w:rsidR="005D5384" w:rsidRPr="0053506A" w:rsidRDefault="005D5384" w:rsidP="007A090D">
            <w:pPr>
              <w:rPr>
                <w:rFonts w:ascii="Calibri" w:hAnsi="Calibri" w:cs="Calibri"/>
                <w:sz w:val="22"/>
                <w:szCs w:val="22"/>
              </w:rPr>
            </w:pPr>
          </w:p>
        </w:tc>
      </w:tr>
      <w:tr w:rsidR="0002680C" w:rsidRPr="00EA44FA" w14:paraId="665884BD" w14:textId="77777777" w:rsidTr="0053506A">
        <w:tc>
          <w:tcPr>
            <w:tcW w:w="9621" w:type="dxa"/>
            <w:gridSpan w:val="4"/>
          </w:tcPr>
          <w:p w14:paraId="70F44719" w14:textId="02FAEDEB" w:rsidR="0002680C" w:rsidRPr="00EA44FA" w:rsidRDefault="0002680C" w:rsidP="007A090D">
            <w:pPr>
              <w:rPr>
                <w:rFonts w:ascii="Calibri" w:hAnsi="Calibri" w:cs="Calibri"/>
                <w:b/>
                <w:bCs/>
                <w:sz w:val="22"/>
                <w:szCs w:val="22"/>
              </w:rPr>
            </w:pPr>
            <w:r w:rsidRPr="00EA44FA">
              <w:rPr>
                <w:rFonts w:ascii="Calibri" w:hAnsi="Calibri" w:cs="Calibri"/>
                <w:b/>
                <w:bCs/>
                <w:sz w:val="22"/>
                <w:szCs w:val="22"/>
              </w:rPr>
              <w:t>Smiltenes novada pašvaldības vēstule Nr. SNP/24/4.9/2016</w:t>
            </w:r>
          </w:p>
        </w:tc>
      </w:tr>
      <w:tr w:rsidR="005D5384" w:rsidRPr="0053506A" w14:paraId="429116E1" w14:textId="77777777" w:rsidTr="0053506A">
        <w:tc>
          <w:tcPr>
            <w:tcW w:w="495" w:type="dxa"/>
          </w:tcPr>
          <w:p w14:paraId="6CE92DD6" w14:textId="7633C87A" w:rsidR="005D5384" w:rsidRPr="0053506A" w:rsidRDefault="0002680C" w:rsidP="007A090D">
            <w:pPr>
              <w:rPr>
                <w:rFonts w:ascii="Calibri" w:hAnsi="Calibri" w:cs="Calibri"/>
                <w:sz w:val="22"/>
                <w:szCs w:val="22"/>
              </w:rPr>
            </w:pPr>
            <w:r w:rsidRPr="0053506A">
              <w:rPr>
                <w:rFonts w:ascii="Calibri" w:hAnsi="Calibri" w:cs="Calibri"/>
                <w:sz w:val="22"/>
                <w:szCs w:val="22"/>
              </w:rPr>
              <w:t>1.</w:t>
            </w:r>
          </w:p>
        </w:tc>
        <w:tc>
          <w:tcPr>
            <w:tcW w:w="2761" w:type="dxa"/>
          </w:tcPr>
          <w:p w14:paraId="48904927" w14:textId="609744C2" w:rsidR="005D5384" w:rsidRPr="0053506A" w:rsidRDefault="0002680C" w:rsidP="007A090D">
            <w:pPr>
              <w:rPr>
                <w:rFonts w:ascii="Calibri" w:hAnsi="Calibri" w:cs="Calibri"/>
                <w:sz w:val="22"/>
                <w:szCs w:val="22"/>
              </w:rPr>
            </w:pPr>
            <w:r w:rsidRPr="0053506A">
              <w:rPr>
                <w:rFonts w:ascii="Calibri" w:hAnsi="Calibri" w:cs="Calibri"/>
                <w:sz w:val="22"/>
                <w:szCs w:val="22"/>
              </w:rPr>
              <w:t>Ziņojumā un ziņojuma kopsavilkumā vietās, kurās norādīts vidējais plānotais izstrādātais daudzums nav vienāds.</w:t>
            </w:r>
          </w:p>
        </w:tc>
        <w:tc>
          <w:tcPr>
            <w:tcW w:w="1701" w:type="dxa"/>
          </w:tcPr>
          <w:p w14:paraId="625331E9" w14:textId="429FEB50" w:rsidR="005D5384" w:rsidRPr="0053506A" w:rsidRDefault="0002680C" w:rsidP="007A090D">
            <w:pPr>
              <w:rPr>
                <w:rFonts w:ascii="Calibri" w:hAnsi="Calibri" w:cs="Calibri"/>
                <w:sz w:val="22"/>
                <w:szCs w:val="22"/>
              </w:rPr>
            </w:pPr>
            <w:r w:rsidRPr="0053506A">
              <w:rPr>
                <w:rFonts w:ascii="Calibri" w:hAnsi="Calibri" w:cs="Calibri"/>
                <w:sz w:val="22"/>
                <w:szCs w:val="22"/>
              </w:rPr>
              <w:t>Precizētas tehniskas kļūdas IVN Ziņojumā</w:t>
            </w:r>
          </w:p>
        </w:tc>
        <w:tc>
          <w:tcPr>
            <w:tcW w:w="4664" w:type="dxa"/>
          </w:tcPr>
          <w:p w14:paraId="2CAEA232" w14:textId="77777777" w:rsidR="005D5384" w:rsidRPr="0053506A" w:rsidRDefault="005D5384" w:rsidP="007A090D">
            <w:pPr>
              <w:rPr>
                <w:rFonts w:ascii="Calibri" w:hAnsi="Calibri" w:cs="Calibri"/>
                <w:sz w:val="22"/>
                <w:szCs w:val="22"/>
              </w:rPr>
            </w:pPr>
          </w:p>
        </w:tc>
      </w:tr>
      <w:tr w:rsidR="005D5384" w:rsidRPr="0053506A" w14:paraId="7B935FCC" w14:textId="77777777" w:rsidTr="0053506A">
        <w:tc>
          <w:tcPr>
            <w:tcW w:w="495" w:type="dxa"/>
          </w:tcPr>
          <w:p w14:paraId="532790DA" w14:textId="4B9C0D84" w:rsidR="005D5384" w:rsidRPr="0053506A" w:rsidRDefault="0002680C" w:rsidP="007A090D">
            <w:pPr>
              <w:rPr>
                <w:rFonts w:ascii="Calibri" w:hAnsi="Calibri" w:cs="Calibri"/>
                <w:sz w:val="22"/>
                <w:szCs w:val="22"/>
              </w:rPr>
            </w:pPr>
            <w:r w:rsidRPr="0053506A">
              <w:rPr>
                <w:rFonts w:ascii="Calibri" w:hAnsi="Calibri" w:cs="Calibri"/>
                <w:sz w:val="22"/>
                <w:szCs w:val="22"/>
              </w:rPr>
              <w:t>2.</w:t>
            </w:r>
          </w:p>
        </w:tc>
        <w:tc>
          <w:tcPr>
            <w:tcW w:w="2761" w:type="dxa"/>
          </w:tcPr>
          <w:p w14:paraId="2FECD03D" w14:textId="15F1F539" w:rsidR="005D5384" w:rsidRPr="0053506A" w:rsidRDefault="0002680C" w:rsidP="007A090D">
            <w:pPr>
              <w:rPr>
                <w:rFonts w:ascii="Calibri" w:hAnsi="Calibri" w:cs="Calibri"/>
                <w:sz w:val="22"/>
                <w:szCs w:val="22"/>
              </w:rPr>
            </w:pPr>
            <w:r w:rsidRPr="0053506A">
              <w:rPr>
                <w:rFonts w:ascii="Calibri" w:hAnsi="Calibri" w:cs="Calibri"/>
                <w:sz w:val="22"/>
                <w:szCs w:val="22"/>
              </w:rPr>
              <w:t>4.6.1.tabulā Prognozētais ieguves apjoms, ietekmju aprēķinos iekļautie parametri norādītais izstrādes apjoms un aprēķini par transportlīdzekļu reisu skaitu dienā un nobrauktiem kilometriem dienā nesakrīt ar kopā gadā veiktajiem reisiem un kilometriem.</w:t>
            </w:r>
          </w:p>
        </w:tc>
        <w:tc>
          <w:tcPr>
            <w:tcW w:w="1701" w:type="dxa"/>
          </w:tcPr>
          <w:p w14:paraId="2AFD9438" w14:textId="39BF1644" w:rsidR="005D5384" w:rsidRPr="0053506A" w:rsidRDefault="0002680C" w:rsidP="007A090D">
            <w:pPr>
              <w:rPr>
                <w:rFonts w:ascii="Calibri" w:hAnsi="Calibri" w:cs="Calibri"/>
                <w:sz w:val="22"/>
                <w:szCs w:val="22"/>
              </w:rPr>
            </w:pPr>
            <w:r w:rsidRPr="0053506A">
              <w:rPr>
                <w:rFonts w:ascii="Calibri" w:hAnsi="Calibri" w:cs="Calibri"/>
                <w:sz w:val="22"/>
                <w:szCs w:val="22"/>
              </w:rPr>
              <w:t>Precizēta 4.6.1.tabula</w:t>
            </w:r>
          </w:p>
        </w:tc>
        <w:tc>
          <w:tcPr>
            <w:tcW w:w="4664" w:type="dxa"/>
          </w:tcPr>
          <w:p w14:paraId="18BA9FD8" w14:textId="77777777" w:rsidR="005D5384" w:rsidRPr="0053506A" w:rsidRDefault="0002680C" w:rsidP="007A090D">
            <w:pPr>
              <w:rPr>
                <w:rFonts w:ascii="Calibri" w:hAnsi="Calibri" w:cs="Calibri"/>
                <w:sz w:val="22"/>
                <w:szCs w:val="22"/>
              </w:rPr>
            </w:pPr>
            <w:r w:rsidRPr="0053506A">
              <w:rPr>
                <w:rFonts w:ascii="Calibri" w:hAnsi="Calibri" w:cs="Calibri"/>
                <w:sz w:val="22"/>
                <w:szCs w:val="22"/>
              </w:rPr>
              <w:t>Vēršam uzmanību uz to, ka ikdienā iegūtā materiāla un izvestā materiāla daudzumi nav vienādi, jo materiāla izvešana notiek atbilstoši pieprasījumam. Daļa dienā iegūtā materiāla tiek novietota krautnēs, daļa tiek novirzīta apstrādei</w:t>
            </w:r>
            <w:r w:rsidR="003552BB" w:rsidRPr="0053506A">
              <w:rPr>
                <w:rFonts w:ascii="Calibri" w:hAnsi="Calibri" w:cs="Calibri"/>
                <w:sz w:val="22"/>
                <w:szCs w:val="22"/>
              </w:rPr>
              <w:t xml:space="preserve"> (sijāšana, drupināšana, mazgāšana) pēc apstrādes derīgā materiāla apjoms, kas jāizved samazinās, jo veidojas derīgo izrakteņu ieguves/apstrādes atkritumi (atsijas, izdalītās mālu un putekļainās daļiņas), kuru apjoms šobrīd nav prognozējams. Tādējādi tiek pieņemts maksimālais automašīnu reisu skaits dienā – 40 reisi.</w:t>
            </w:r>
          </w:p>
          <w:p w14:paraId="5D2BFCF0" w14:textId="2E08F26E" w:rsidR="003552BB" w:rsidRPr="0053506A" w:rsidRDefault="003552BB" w:rsidP="007A090D">
            <w:pPr>
              <w:rPr>
                <w:rFonts w:ascii="Calibri" w:hAnsi="Calibri" w:cs="Calibri"/>
                <w:sz w:val="22"/>
                <w:szCs w:val="22"/>
              </w:rPr>
            </w:pPr>
          </w:p>
        </w:tc>
      </w:tr>
      <w:tr w:rsidR="00EA7BC8" w:rsidRPr="0053506A" w14:paraId="74F6BA0A" w14:textId="77777777" w:rsidTr="0053506A">
        <w:tc>
          <w:tcPr>
            <w:tcW w:w="495" w:type="dxa"/>
          </w:tcPr>
          <w:p w14:paraId="45168AC8" w14:textId="4A9EF937" w:rsidR="00EA7BC8" w:rsidRPr="0053506A" w:rsidRDefault="003552BB" w:rsidP="007A090D">
            <w:pPr>
              <w:rPr>
                <w:rFonts w:ascii="Calibri" w:hAnsi="Calibri" w:cs="Calibri"/>
                <w:sz w:val="22"/>
                <w:szCs w:val="22"/>
              </w:rPr>
            </w:pPr>
            <w:r w:rsidRPr="0053506A">
              <w:rPr>
                <w:rFonts w:ascii="Calibri" w:hAnsi="Calibri" w:cs="Calibri"/>
                <w:sz w:val="22"/>
                <w:szCs w:val="22"/>
              </w:rPr>
              <w:t>3.</w:t>
            </w:r>
          </w:p>
        </w:tc>
        <w:tc>
          <w:tcPr>
            <w:tcW w:w="2761" w:type="dxa"/>
          </w:tcPr>
          <w:p w14:paraId="0CD6E8A9" w14:textId="0BC636F9" w:rsidR="00EA7BC8" w:rsidRPr="0053506A" w:rsidRDefault="003552BB" w:rsidP="003552BB">
            <w:pPr>
              <w:tabs>
                <w:tab w:val="left" w:pos="488"/>
              </w:tabs>
              <w:rPr>
                <w:rFonts w:ascii="Calibri" w:hAnsi="Calibri" w:cs="Calibri"/>
                <w:sz w:val="22"/>
                <w:szCs w:val="22"/>
              </w:rPr>
            </w:pPr>
            <w:r w:rsidRPr="0053506A">
              <w:rPr>
                <w:rFonts w:ascii="Calibri" w:hAnsi="Calibri" w:cs="Calibri"/>
                <w:sz w:val="22"/>
                <w:szCs w:val="22"/>
              </w:rPr>
              <w:t xml:space="preserve">Vietās, kur norādīti autoceļu aizsargjoslas platumi tie ir kļūdaini norādīti P28 un V297 autoceļiem, kā arī programmā norādītā </w:t>
            </w:r>
            <w:r w:rsidRPr="0053506A">
              <w:rPr>
                <w:rFonts w:ascii="Calibri" w:hAnsi="Calibri" w:cs="Calibri"/>
                <w:sz w:val="22"/>
                <w:szCs w:val="22"/>
              </w:rPr>
              <w:lastRenderedPageBreak/>
              <w:t>piekļuve ieguves teritorijai no V297 nesakrīt ar ziņojumā norādīto P28.</w:t>
            </w:r>
          </w:p>
        </w:tc>
        <w:tc>
          <w:tcPr>
            <w:tcW w:w="1701" w:type="dxa"/>
          </w:tcPr>
          <w:p w14:paraId="2BA8523E" w14:textId="20145666" w:rsidR="00EA7BC8" w:rsidRPr="0053506A" w:rsidRDefault="003552BB" w:rsidP="007A090D">
            <w:pPr>
              <w:rPr>
                <w:rFonts w:ascii="Calibri" w:hAnsi="Calibri" w:cs="Calibri"/>
                <w:sz w:val="22"/>
                <w:szCs w:val="22"/>
              </w:rPr>
            </w:pPr>
            <w:r w:rsidRPr="0053506A">
              <w:rPr>
                <w:rFonts w:ascii="Calibri" w:hAnsi="Calibri" w:cs="Calibri"/>
                <w:sz w:val="22"/>
                <w:szCs w:val="22"/>
              </w:rPr>
              <w:lastRenderedPageBreak/>
              <w:t>Labotas tehniskas kļūdas IVN Ziņojumā</w:t>
            </w:r>
          </w:p>
        </w:tc>
        <w:tc>
          <w:tcPr>
            <w:tcW w:w="4664" w:type="dxa"/>
          </w:tcPr>
          <w:p w14:paraId="7367ECDC" w14:textId="77777777" w:rsidR="00EA7BC8" w:rsidRPr="0053506A" w:rsidRDefault="00EA7BC8" w:rsidP="007A090D">
            <w:pPr>
              <w:rPr>
                <w:rFonts w:ascii="Calibri" w:hAnsi="Calibri" w:cs="Calibri"/>
                <w:sz w:val="22"/>
                <w:szCs w:val="22"/>
              </w:rPr>
            </w:pPr>
          </w:p>
        </w:tc>
      </w:tr>
      <w:tr w:rsidR="00EA7BC8" w:rsidRPr="0053506A" w14:paraId="47E4DB2E" w14:textId="77777777" w:rsidTr="0053506A">
        <w:tc>
          <w:tcPr>
            <w:tcW w:w="495" w:type="dxa"/>
          </w:tcPr>
          <w:p w14:paraId="384C173B" w14:textId="675BAE20" w:rsidR="00EA7BC8" w:rsidRPr="0053506A" w:rsidRDefault="00284427" w:rsidP="007A090D">
            <w:pPr>
              <w:rPr>
                <w:rFonts w:ascii="Calibri" w:hAnsi="Calibri" w:cs="Calibri"/>
                <w:sz w:val="22"/>
                <w:szCs w:val="22"/>
              </w:rPr>
            </w:pPr>
            <w:r w:rsidRPr="0053506A">
              <w:rPr>
                <w:rFonts w:ascii="Calibri" w:hAnsi="Calibri" w:cs="Calibri"/>
                <w:sz w:val="22"/>
                <w:szCs w:val="22"/>
              </w:rPr>
              <w:t xml:space="preserve">4. </w:t>
            </w:r>
          </w:p>
        </w:tc>
        <w:tc>
          <w:tcPr>
            <w:tcW w:w="2761" w:type="dxa"/>
          </w:tcPr>
          <w:p w14:paraId="5A24072D" w14:textId="41420F77" w:rsidR="00EA7BC8" w:rsidRPr="0053506A" w:rsidRDefault="00284427" w:rsidP="007A090D">
            <w:pPr>
              <w:rPr>
                <w:rFonts w:ascii="Calibri" w:hAnsi="Calibri" w:cs="Calibri"/>
                <w:sz w:val="22"/>
                <w:szCs w:val="22"/>
              </w:rPr>
            </w:pPr>
            <w:r w:rsidRPr="0053506A">
              <w:rPr>
                <w:rFonts w:ascii="Calibri" w:hAnsi="Calibri" w:cs="Calibri"/>
                <w:sz w:val="22"/>
                <w:szCs w:val="22"/>
              </w:rPr>
              <w:t>6.nodaļā atsauces uz ziņojumā neesošam nodaļām un tabulām – norādīt informāciju no kura dokumenta ņemta informācija.</w:t>
            </w:r>
          </w:p>
        </w:tc>
        <w:tc>
          <w:tcPr>
            <w:tcW w:w="1701" w:type="dxa"/>
          </w:tcPr>
          <w:p w14:paraId="333433E6" w14:textId="7B7A35B7" w:rsidR="00EA7BC8" w:rsidRPr="0053506A" w:rsidRDefault="00435E62" w:rsidP="007A090D">
            <w:pPr>
              <w:rPr>
                <w:rFonts w:ascii="Calibri" w:hAnsi="Calibri" w:cs="Calibri"/>
                <w:sz w:val="22"/>
                <w:szCs w:val="22"/>
              </w:rPr>
            </w:pPr>
            <w:r w:rsidRPr="0053506A">
              <w:rPr>
                <w:rFonts w:ascii="Calibri" w:hAnsi="Calibri" w:cs="Calibri"/>
                <w:sz w:val="22"/>
                <w:szCs w:val="22"/>
              </w:rPr>
              <w:t>Labotas tehniskas kļūdas IVN Ziņojumā</w:t>
            </w:r>
          </w:p>
        </w:tc>
        <w:tc>
          <w:tcPr>
            <w:tcW w:w="4664" w:type="dxa"/>
          </w:tcPr>
          <w:p w14:paraId="74B7BD44" w14:textId="77777777" w:rsidR="00EA7BC8" w:rsidRPr="0053506A" w:rsidRDefault="00EA7BC8" w:rsidP="007A090D">
            <w:pPr>
              <w:rPr>
                <w:rFonts w:ascii="Calibri" w:hAnsi="Calibri" w:cs="Calibri"/>
                <w:sz w:val="22"/>
                <w:szCs w:val="22"/>
              </w:rPr>
            </w:pPr>
          </w:p>
        </w:tc>
      </w:tr>
      <w:tr w:rsidR="00EA7BC8" w:rsidRPr="0053506A" w14:paraId="4EBA8232" w14:textId="77777777" w:rsidTr="0053506A">
        <w:tc>
          <w:tcPr>
            <w:tcW w:w="495" w:type="dxa"/>
          </w:tcPr>
          <w:p w14:paraId="31B948C1" w14:textId="2C3E4F00" w:rsidR="00EA7BC8" w:rsidRPr="0053506A" w:rsidRDefault="00435E62" w:rsidP="007A090D">
            <w:pPr>
              <w:rPr>
                <w:rFonts w:ascii="Calibri" w:hAnsi="Calibri" w:cs="Calibri"/>
                <w:sz w:val="22"/>
                <w:szCs w:val="22"/>
              </w:rPr>
            </w:pPr>
            <w:r w:rsidRPr="0053506A">
              <w:rPr>
                <w:rFonts w:ascii="Calibri" w:hAnsi="Calibri" w:cs="Calibri"/>
                <w:sz w:val="22"/>
                <w:szCs w:val="22"/>
              </w:rPr>
              <w:t>5.</w:t>
            </w:r>
          </w:p>
        </w:tc>
        <w:tc>
          <w:tcPr>
            <w:tcW w:w="2761" w:type="dxa"/>
          </w:tcPr>
          <w:p w14:paraId="2C28F42C" w14:textId="72753413" w:rsidR="00EA7BC8" w:rsidRPr="0053506A" w:rsidRDefault="00435E62" w:rsidP="007A090D">
            <w:pPr>
              <w:rPr>
                <w:rFonts w:ascii="Calibri" w:hAnsi="Calibri" w:cs="Calibri"/>
                <w:sz w:val="22"/>
                <w:szCs w:val="22"/>
              </w:rPr>
            </w:pPr>
            <w:r w:rsidRPr="0053506A">
              <w:rPr>
                <w:rFonts w:ascii="Calibri" w:hAnsi="Calibri" w:cs="Calibri"/>
                <w:sz w:val="22"/>
                <w:szCs w:val="22"/>
              </w:rPr>
              <w:t>Tāpat visā dokumentā ir dažāds fontu noformējums, kas apgrūtina dokumenta uztveri.</w:t>
            </w:r>
          </w:p>
        </w:tc>
        <w:tc>
          <w:tcPr>
            <w:tcW w:w="1701" w:type="dxa"/>
          </w:tcPr>
          <w:p w14:paraId="3A2C1094" w14:textId="079F1549" w:rsidR="00EA7BC8" w:rsidRPr="0053506A" w:rsidRDefault="00435E62" w:rsidP="007A090D">
            <w:pPr>
              <w:rPr>
                <w:rFonts w:ascii="Calibri" w:hAnsi="Calibri" w:cs="Calibri"/>
                <w:sz w:val="22"/>
                <w:szCs w:val="22"/>
              </w:rPr>
            </w:pPr>
            <w:r w:rsidRPr="0053506A">
              <w:rPr>
                <w:rFonts w:ascii="Calibri" w:hAnsi="Calibri" w:cs="Calibri"/>
                <w:sz w:val="22"/>
                <w:szCs w:val="22"/>
              </w:rPr>
              <w:t>Pilnveidots IVN Ziņojuma noformējums</w:t>
            </w:r>
          </w:p>
        </w:tc>
        <w:tc>
          <w:tcPr>
            <w:tcW w:w="4664" w:type="dxa"/>
          </w:tcPr>
          <w:p w14:paraId="4784DA60" w14:textId="77777777" w:rsidR="00EA7BC8" w:rsidRPr="0053506A" w:rsidRDefault="00EA7BC8" w:rsidP="007A090D">
            <w:pPr>
              <w:rPr>
                <w:rFonts w:ascii="Calibri" w:hAnsi="Calibri" w:cs="Calibri"/>
                <w:sz w:val="22"/>
                <w:szCs w:val="22"/>
              </w:rPr>
            </w:pPr>
          </w:p>
        </w:tc>
      </w:tr>
      <w:tr w:rsidR="00EA7BC8" w:rsidRPr="0053506A" w14:paraId="6880CC18" w14:textId="77777777" w:rsidTr="0053506A">
        <w:tc>
          <w:tcPr>
            <w:tcW w:w="495" w:type="dxa"/>
          </w:tcPr>
          <w:p w14:paraId="64219287" w14:textId="47BAC13D" w:rsidR="00EA7BC8" w:rsidRPr="0053506A" w:rsidRDefault="00435E62" w:rsidP="007A090D">
            <w:pPr>
              <w:rPr>
                <w:rFonts w:ascii="Calibri" w:hAnsi="Calibri" w:cs="Calibri"/>
                <w:sz w:val="22"/>
                <w:szCs w:val="22"/>
              </w:rPr>
            </w:pPr>
            <w:r w:rsidRPr="0053506A">
              <w:rPr>
                <w:rFonts w:ascii="Calibri" w:hAnsi="Calibri" w:cs="Calibri"/>
                <w:sz w:val="22"/>
                <w:szCs w:val="22"/>
              </w:rPr>
              <w:t>6.</w:t>
            </w:r>
          </w:p>
        </w:tc>
        <w:tc>
          <w:tcPr>
            <w:tcW w:w="2761" w:type="dxa"/>
          </w:tcPr>
          <w:p w14:paraId="76FF2120" w14:textId="1E14CD2E" w:rsidR="00EA7BC8" w:rsidRPr="0053506A" w:rsidRDefault="00435E62" w:rsidP="007A090D">
            <w:pPr>
              <w:rPr>
                <w:rFonts w:ascii="Calibri" w:hAnsi="Calibri" w:cs="Calibri"/>
                <w:sz w:val="22"/>
                <w:szCs w:val="22"/>
              </w:rPr>
            </w:pPr>
            <w:r w:rsidRPr="0053506A">
              <w:rPr>
                <w:rFonts w:ascii="Calibri" w:hAnsi="Calibri" w:cs="Calibri"/>
                <w:sz w:val="22"/>
                <w:szCs w:val="22"/>
              </w:rPr>
              <w:t>Pašvaldība konceptuāli atbalsta izstrādāto ietekmes uz vidi novērtējuma Paredzētās darbības smilts-grants, smilts un mālsmilts ieguve atradnē “Vālodzes” ziņojumu.</w:t>
            </w:r>
          </w:p>
        </w:tc>
        <w:tc>
          <w:tcPr>
            <w:tcW w:w="1701" w:type="dxa"/>
          </w:tcPr>
          <w:p w14:paraId="34A6D1E5" w14:textId="6931F774" w:rsidR="00EA7BC8" w:rsidRPr="0053506A" w:rsidRDefault="00E72860" w:rsidP="007A090D">
            <w:pPr>
              <w:rPr>
                <w:rFonts w:ascii="Calibri" w:hAnsi="Calibri" w:cs="Calibri"/>
                <w:sz w:val="22"/>
                <w:szCs w:val="22"/>
              </w:rPr>
            </w:pPr>
            <w:r>
              <w:rPr>
                <w:rFonts w:ascii="Calibri" w:hAnsi="Calibri" w:cs="Calibri"/>
                <w:sz w:val="22"/>
                <w:szCs w:val="22"/>
              </w:rPr>
              <w:t>Darbības nav nepieciešamas</w:t>
            </w:r>
          </w:p>
        </w:tc>
        <w:tc>
          <w:tcPr>
            <w:tcW w:w="4664" w:type="dxa"/>
          </w:tcPr>
          <w:p w14:paraId="7ECF0F09" w14:textId="77777777" w:rsidR="00EA7BC8" w:rsidRPr="0053506A" w:rsidRDefault="00EA7BC8" w:rsidP="007A090D">
            <w:pPr>
              <w:rPr>
                <w:rFonts w:ascii="Calibri" w:hAnsi="Calibri" w:cs="Calibri"/>
                <w:sz w:val="22"/>
                <w:szCs w:val="22"/>
              </w:rPr>
            </w:pPr>
          </w:p>
        </w:tc>
      </w:tr>
      <w:bookmarkEnd w:id="0"/>
    </w:tbl>
    <w:p w14:paraId="328DA646" w14:textId="77777777" w:rsidR="005D5384" w:rsidRPr="005D5384" w:rsidRDefault="005D5384">
      <w:pPr>
        <w:rPr>
          <w:sz w:val="22"/>
          <w:szCs w:val="22"/>
        </w:rPr>
      </w:pPr>
    </w:p>
    <w:sectPr w:rsidR="005D5384" w:rsidRPr="005D538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384"/>
    <w:rsid w:val="0002680C"/>
    <w:rsid w:val="001123A9"/>
    <w:rsid w:val="00240333"/>
    <w:rsid w:val="00284427"/>
    <w:rsid w:val="003552BB"/>
    <w:rsid w:val="00435E62"/>
    <w:rsid w:val="0048663C"/>
    <w:rsid w:val="0053506A"/>
    <w:rsid w:val="005371F9"/>
    <w:rsid w:val="005D5384"/>
    <w:rsid w:val="005F7BA0"/>
    <w:rsid w:val="00686B26"/>
    <w:rsid w:val="006D1C31"/>
    <w:rsid w:val="00914AC7"/>
    <w:rsid w:val="009A3EC8"/>
    <w:rsid w:val="00A85C6F"/>
    <w:rsid w:val="00B51BB7"/>
    <w:rsid w:val="00E06909"/>
    <w:rsid w:val="00E72860"/>
    <w:rsid w:val="00EA44FA"/>
    <w:rsid w:val="00EA7BC8"/>
    <w:rsid w:val="00FA402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C598D"/>
  <w15:chartTrackingRefBased/>
  <w15:docId w15:val="{C3F20B28-E6AC-4E2D-ADAD-F23E1B636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v-LV"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5384"/>
  </w:style>
  <w:style w:type="paragraph" w:styleId="Heading1">
    <w:name w:val="heading 1"/>
    <w:basedOn w:val="Normal"/>
    <w:next w:val="Normal"/>
    <w:link w:val="Heading1Char"/>
    <w:uiPriority w:val="9"/>
    <w:qFormat/>
    <w:rsid w:val="005D538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D538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D538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D538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D538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D538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D538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D538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D538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538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D538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D538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D538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D538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D538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D538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D538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D5384"/>
    <w:rPr>
      <w:rFonts w:eastAsiaTheme="majorEastAsia" w:cstheme="majorBidi"/>
      <w:color w:val="272727" w:themeColor="text1" w:themeTint="D8"/>
    </w:rPr>
  </w:style>
  <w:style w:type="paragraph" w:styleId="Title">
    <w:name w:val="Title"/>
    <w:basedOn w:val="Normal"/>
    <w:next w:val="Normal"/>
    <w:link w:val="TitleChar"/>
    <w:uiPriority w:val="10"/>
    <w:qFormat/>
    <w:rsid w:val="005D538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D538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D538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D538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D5384"/>
    <w:pPr>
      <w:spacing w:before="160"/>
      <w:jc w:val="center"/>
    </w:pPr>
    <w:rPr>
      <w:i/>
      <w:iCs/>
      <w:color w:val="404040" w:themeColor="text1" w:themeTint="BF"/>
    </w:rPr>
  </w:style>
  <w:style w:type="character" w:customStyle="1" w:styleId="QuoteChar">
    <w:name w:val="Quote Char"/>
    <w:basedOn w:val="DefaultParagraphFont"/>
    <w:link w:val="Quote"/>
    <w:uiPriority w:val="29"/>
    <w:rsid w:val="005D5384"/>
    <w:rPr>
      <w:i/>
      <w:iCs/>
      <w:color w:val="404040" w:themeColor="text1" w:themeTint="BF"/>
    </w:rPr>
  </w:style>
  <w:style w:type="paragraph" w:styleId="ListParagraph">
    <w:name w:val="List Paragraph"/>
    <w:basedOn w:val="Normal"/>
    <w:uiPriority w:val="34"/>
    <w:qFormat/>
    <w:rsid w:val="005D5384"/>
    <w:pPr>
      <w:ind w:left="720"/>
      <w:contextualSpacing/>
    </w:pPr>
  </w:style>
  <w:style w:type="character" w:styleId="IntenseEmphasis">
    <w:name w:val="Intense Emphasis"/>
    <w:basedOn w:val="DefaultParagraphFont"/>
    <w:uiPriority w:val="21"/>
    <w:qFormat/>
    <w:rsid w:val="005D5384"/>
    <w:rPr>
      <w:i/>
      <w:iCs/>
      <w:color w:val="0F4761" w:themeColor="accent1" w:themeShade="BF"/>
    </w:rPr>
  </w:style>
  <w:style w:type="paragraph" w:styleId="IntenseQuote">
    <w:name w:val="Intense Quote"/>
    <w:basedOn w:val="Normal"/>
    <w:next w:val="Normal"/>
    <w:link w:val="IntenseQuoteChar"/>
    <w:uiPriority w:val="30"/>
    <w:qFormat/>
    <w:rsid w:val="005D538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D5384"/>
    <w:rPr>
      <w:i/>
      <w:iCs/>
      <w:color w:val="0F4761" w:themeColor="accent1" w:themeShade="BF"/>
    </w:rPr>
  </w:style>
  <w:style w:type="character" w:styleId="IntenseReference">
    <w:name w:val="Intense Reference"/>
    <w:basedOn w:val="DefaultParagraphFont"/>
    <w:uiPriority w:val="32"/>
    <w:qFormat/>
    <w:rsid w:val="005D5384"/>
    <w:rPr>
      <w:b/>
      <w:bCs/>
      <w:smallCaps/>
      <w:color w:val="0F4761" w:themeColor="accent1" w:themeShade="BF"/>
      <w:spacing w:val="5"/>
    </w:rPr>
  </w:style>
  <w:style w:type="table" w:styleId="TableGrid">
    <w:name w:val="Table Grid"/>
    <w:basedOn w:val="TableNormal"/>
    <w:uiPriority w:val="39"/>
    <w:rsid w:val="005D53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A3EC8"/>
    <w:rPr>
      <w:color w:val="467886" w:themeColor="hyperlink"/>
      <w:u w:val="single"/>
    </w:rPr>
  </w:style>
  <w:style w:type="character" w:styleId="UnresolvedMention">
    <w:name w:val="Unresolved Mention"/>
    <w:basedOn w:val="DefaultParagraphFont"/>
    <w:uiPriority w:val="99"/>
    <w:semiHidden/>
    <w:unhideWhenUsed/>
    <w:rsid w:val="009A3E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izraktenis.lvgmc.lv/atradnes/B2989?tab=izmain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11626</Words>
  <Characters>6627</Characters>
  <Application>Microsoft Office Word</Application>
  <DocSecurity>0</DocSecurity>
  <Lines>55</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Gavena</dc:creator>
  <cp:keywords/>
  <dc:description/>
  <cp:lastModifiedBy>Inga Gavena</cp:lastModifiedBy>
  <cp:revision>2</cp:revision>
  <dcterms:created xsi:type="dcterms:W3CDTF">2025-03-31T06:46:00Z</dcterms:created>
  <dcterms:modified xsi:type="dcterms:W3CDTF">2025-03-31T06:46:00Z</dcterms:modified>
</cp:coreProperties>
</file>