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160" w:rsidRPr="009F7160" w:rsidRDefault="009F7160" w:rsidP="009F7160">
      <w:pPr>
        <w:jc w:val="right"/>
        <w:rPr>
          <w:b/>
        </w:rPr>
      </w:pPr>
      <w:r w:rsidRPr="009F7160">
        <w:rPr>
          <w:b/>
        </w:rPr>
        <w:t>12.pielikums</w:t>
      </w:r>
    </w:p>
    <w:p w:rsidR="006B3BA0" w:rsidRPr="009F7160" w:rsidRDefault="009F7160" w:rsidP="009F7160">
      <w:pPr>
        <w:jc w:val="center"/>
        <w:rPr>
          <w:b/>
          <w:caps/>
        </w:rPr>
      </w:pPr>
      <w:r w:rsidRPr="009F7160">
        <w:rPr>
          <w:b/>
        </w:rPr>
        <w:t xml:space="preserve">PAREDZĒTĀS DARBĪBAS - DERĪGO IZRAKTEŅU (SMILTS, SMILTS-GRANTS) IEGUVE NEKUSTAMAJĀ ĪPAŠUMĀ ,,AUSEKĻI” VALSTS NOZĪMES DERĪGO IZRAKTEŅU ATRADNES “CĒRE” IECIRKNĪ “AUSEKĻI” KANDAVAS NOVADĀ, CĒRES PAGASTĀ, IETEKMES UZ VIDI NOVĒRTĒJUMA ZIŅOJUMA SABIEDRISKĀS  APSPRIEŠANAS </w:t>
      </w:r>
      <w:r w:rsidRPr="009F7160">
        <w:rPr>
          <w:b/>
          <w:caps/>
        </w:rPr>
        <w:t>procesā saņemto atzinumu apkopojums</w:t>
      </w:r>
    </w:p>
    <w:p w:rsidR="009F7160" w:rsidRDefault="009F7160"/>
    <w:tbl>
      <w:tblPr>
        <w:tblStyle w:val="TableGrid"/>
        <w:tblW w:w="0" w:type="auto"/>
        <w:tblLayout w:type="fixed"/>
        <w:tblLook w:val="04A0" w:firstRow="1" w:lastRow="0" w:firstColumn="1" w:lastColumn="0" w:noHBand="0" w:noVBand="1"/>
      </w:tblPr>
      <w:tblGrid>
        <w:gridCol w:w="1006"/>
        <w:gridCol w:w="6502"/>
        <w:gridCol w:w="1843"/>
        <w:gridCol w:w="4597"/>
      </w:tblGrid>
      <w:tr w:rsidR="009F7160" w:rsidRPr="009F7160" w:rsidTr="004A1171">
        <w:tc>
          <w:tcPr>
            <w:tcW w:w="1006" w:type="dxa"/>
          </w:tcPr>
          <w:p w:rsidR="009F7160" w:rsidRPr="009F7160" w:rsidRDefault="009F7160">
            <w:pPr>
              <w:rPr>
                <w:b/>
              </w:rPr>
            </w:pPr>
            <w:proofErr w:type="spellStart"/>
            <w:r w:rsidRPr="009F7160">
              <w:rPr>
                <w:b/>
              </w:rPr>
              <w:t>Nr.p.k</w:t>
            </w:r>
            <w:proofErr w:type="spellEnd"/>
            <w:r w:rsidRPr="009F7160">
              <w:rPr>
                <w:b/>
              </w:rPr>
              <w:t>.</w:t>
            </w:r>
          </w:p>
        </w:tc>
        <w:tc>
          <w:tcPr>
            <w:tcW w:w="6502" w:type="dxa"/>
          </w:tcPr>
          <w:p w:rsidR="009F7160" w:rsidRPr="009F7160" w:rsidRDefault="009F7160">
            <w:pPr>
              <w:rPr>
                <w:b/>
              </w:rPr>
            </w:pPr>
            <w:r w:rsidRPr="009F7160">
              <w:rPr>
                <w:b/>
              </w:rPr>
              <w:t>Izteiktais viedoklis</w:t>
            </w:r>
          </w:p>
        </w:tc>
        <w:tc>
          <w:tcPr>
            <w:tcW w:w="1843" w:type="dxa"/>
          </w:tcPr>
          <w:p w:rsidR="009F7160" w:rsidRPr="009F7160" w:rsidRDefault="009F7160">
            <w:pPr>
              <w:rPr>
                <w:b/>
              </w:rPr>
            </w:pPr>
            <w:r w:rsidRPr="009F7160">
              <w:rPr>
                <w:b/>
              </w:rPr>
              <w:t>Veiktās darbības</w:t>
            </w:r>
          </w:p>
        </w:tc>
        <w:tc>
          <w:tcPr>
            <w:tcW w:w="4597" w:type="dxa"/>
          </w:tcPr>
          <w:p w:rsidR="009F7160" w:rsidRPr="009F7160" w:rsidRDefault="009F7160">
            <w:pPr>
              <w:rPr>
                <w:b/>
              </w:rPr>
            </w:pPr>
            <w:r w:rsidRPr="009F7160">
              <w:rPr>
                <w:b/>
              </w:rPr>
              <w:t>Komentāri</w:t>
            </w:r>
          </w:p>
        </w:tc>
      </w:tr>
      <w:tr w:rsidR="008925E9" w:rsidRPr="00A42753" w:rsidTr="005F6338">
        <w:tc>
          <w:tcPr>
            <w:tcW w:w="13948" w:type="dxa"/>
            <w:gridSpan w:val="4"/>
          </w:tcPr>
          <w:p w:rsidR="008925E9" w:rsidRPr="00A42753" w:rsidRDefault="008925E9" w:rsidP="008925E9">
            <w:pPr>
              <w:rPr>
                <w:b/>
              </w:rPr>
            </w:pPr>
            <w:r w:rsidRPr="00A42753">
              <w:rPr>
                <w:b/>
              </w:rPr>
              <w:t>Veselības inspekcijas 20.10.2020. vēstule Nr. 4.6.4.-1./23746/</w:t>
            </w:r>
          </w:p>
        </w:tc>
      </w:tr>
      <w:tr w:rsidR="009F7160" w:rsidTr="004A1171">
        <w:tc>
          <w:tcPr>
            <w:tcW w:w="1006" w:type="dxa"/>
          </w:tcPr>
          <w:p w:rsidR="009F7160" w:rsidRDefault="008925E9">
            <w:r>
              <w:t>1.</w:t>
            </w:r>
          </w:p>
        </w:tc>
        <w:tc>
          <w:tcPr>
            <w:tcW w:w="6502" w:type="dxa"/>
          </w:tcPr>
          <w:p w:rsidR="009F7160" w:rsidRDefault="008925E9">
            <w:r w:rsidRPr="008925E9">
              <w:t xml:space="preserve"> Pamatojoties uz augstāk minēto, Veselības inspekcija neiebilst izstrādātā Ziņojuma risinājumiem</w:t>
            </w:r>
          </w:p>
        </w:tc>
        <w:tc>
          <w:tcPr>
            <w:tcW w:w="1843" w:type="dxa"/>
          </w:tcPr>
          <w:p w:rsidR="009F7160" w:rsidRDefault="008925E9">
            <w:r>
              <w:t>Nav nepieciešamas</w:t>
            </w:r>
            <w:r w:rsidR="004A1171">
              <w:t xml:space="preserve"> izmaiņas</w:t>
            </w:r>
          </w:p>
        </w:tc>
        <w:tc>
          <w:tcPr>
            <w:tcW w:w="4597" w:type="dxa"/>
          </w:tcPr>
          <w:p w:rsidR="009F7160" w:rsidRDefault="009F7160"/>
        </w:tc>
      </w:tr>
      <w:tr w:rsidR="008925E9" w:rsidRPr="00A42753" w:rsidTr="005F6338">
        <w:tc>
          <w:tcPr>
            <w:tcW w:w="13948" w:type="dxa"/>
            <w:gridSpan w:val="4"/>
          </w:tcPr>
          <w:p w:rsidR="008925E9" w:rsidRPr="00A42753" w:rsidRDefault="005F6338">
            <w:pPr>
              <w:rPr>
                <w:b/>
              </w:rPr>
            </w:pPr>
            <w:r w:rsidRPr="00A42753">
              <w:rPr>
                <w:b/>
              </w:rPr>
              <w:t xml:space="preserve">Dabas aizsardzības pārvaldes </w:t>
            </w:r>
            <w:r w:rsidR="008925E9" w:rsidRPr="00A42753">
              <w:rPr>
                <w:b/>
              </w:rPr>
              <w:t xml:space="preserve">26.10.2020. </w:t>
            </w:r>
            <w:r w:rsidRPr="00A42753">
              <w:rPr>
                <w:b/>
              </w:rPr>
              <w:t xml:space="preserve">vēstule </w:t>
            </w:r>
            <w:r w:rsidR="008925E9" w:rsidRPr="00A42753">
              <w:rPr>
                <w:b/>
              </w:rPr>
              <w:t>Nr. 4.9/5456/2020-N</w:t>
            </w:r>
          </w:p>
        </w:tc>
      </w:tr>
      <w:tr w:rsidR="009F7160" w:rsidTr="004A1171">
        <w:tc>
          <w:tcPr>
            <w:tcW w:w="1006" w:type="dxa"/>
          </w:tcPr>
          <w:p w:rsidR="009F7160" w:rsidRDefault="005F6338">
            <w:r>
              <w:t>1.</w:t>
            </w:r>
          </w:p>
        </w:tc>
        <w:tc>
          <w:tcPr>
            <w:tcW w:w="6502" w:type="dxa"/>
          </w:tcPr>
          <w:p w:rsidR="005F6338" w:rsidRDefault="005F6338" w:rsidP="005F6338">
            <w:r>
              <w:t xml:space="preserve">aptuveni 750 m attālumā no derīgo izrakteņu transportēšanas maršruta 2010.gadā izveidots mikroliegums īpaši aizsargājamas putnu sugas - melnā stārķa aizsardzībai. </w:t>
            </w:r>
          </w:p>
          <w:p w:rsidR="009F7160" w:rsidRDefault="005F6338" w:rsidP="005F6338">
            <w:r>
              <w:t xml:space="preserve">Spriežot pēc Ziņojuma 28. attēla attēlotā kopējā radītā trokšņa līmeņa rādītājiem </w:t>
            </w:r>
            <w:proofErr w:type="spellStart"/>
            <w:r>
              <w:t>Ldiena</w:t>
            </w:r>
            <w:proofErr w:type="spellEnd"/>
            <w:r>
              <w:t xml:space="preserve">  transportēšanas trokšņa ietekme uz melnā stārķa mikroliegumu ir maz ticama, bet ņemot vērā piesardzības principu, Ziņojumu nepieciešams papildināt arī ar putnu eksperta atzinumu.</w:t>
            </w:r>
          </w:p>
        </w:tc>
        <w:tc>
          <w:tcPr>
            <w:tcW w:w="1843" w:type="dxa"/>
          </w:tcPr>
          <w:p w:rsidR="009F7160" w:rsidRDefault="005F6338">
            <w:r>
              <w:t>Nav ņemts vērā</w:t>
            </w:r>
          </w:p>
        </w:tc>
        <w:tc>
          <w:tcPr>
            <w:tcW w:w="4597" w:type="dxa"/>
          </w:tcPr>
          <w:p w:rsidR="009F7160" w:rsidRDefault="005F6338" w:rsidP="005F6338">
            <w:r>
              <w:t>Paredzētās darbības īstenošana nepalielina transporta plūsmu, salīdzinot ar līdzšinējo, jo nav plānots lielāks ieguves un transportēšanas apjoms par pašreizējo no iecirkņa “Karjers”. Arī trokšņa modelēšanas rezultāti pierāda, ka salīdzinot ar fona līmeni, nav prognozējamas trokšņa līmeņa izmaiņas transportēšanas maršrutā</w:t>
            </w:r>
          </w:p>
        </w:tc>
      </w:tr>
      <w:tr w:rsidR="009F7160" w:rsidTr="004A1171">
        <w:tc>
          <w:tcPr>
            <w:tcW w:w="1006" w:type="dxa"/>
          </w:tcPr>
          <w:p w:rsidR="009F7160" w:rsidRDefault="005F6338">
            <w:r>
              <w:t>2.</w:t>
            </w:r>
          </w:p>
        </w:tc>
        <w:tc>
          <w:tcPr>
            <w:tcW w:w="6502" w:type="dxa"/>
          </w:tcPr>
          <w:p w:rsidR="009F7160" w:rsidRDefault="005F6338">
            <w:r w:rsidRPr="005F6338">
              <w:t xml:space="preserve">Pārvaldes ieskatā šo daļu nepieciešams precizēt un papildināt ar informāciju, ka ar mērķi iegūt detalizētu un pilnīgu informāciju par Latvijā sastopamiem Eiropas Savienības nozīmes īpaši aizsargājamiem biotopiem, to izplatību un kvalitāti Pārvalde 2017.gadā uzsākusi īstenot Eiropas Savienības Kohēzijas fonda projektu “Priekšnosacījumu izveide labākai bioloģiskās daudzveidības saglabāšanai un ekosistēmu aizsardzībai Latvijā” jeb “Dabas skaitīšana”. Informācija par projektu atrodama Pārvaldes mājas lapā </w:t>
            </w:r>
            <w:r w:rsidRPr="005F6338">
              <w:lastRenderedPageBreak/>
              <w:t>https://www.daba.gov.lv/public/lat/projekti/aktualie_projekti/dabas_skaitisana1/</w:t>
            </w:r>
          </w:p>
        </w:tc>
        <w:tc>
          <w:tcPr>
            <w:tcW w:w="1843" w:type="dxa"/>
          </w:tcPr>
          <w:p w:rsidR="009F7160" w:rsidRDefault="005F6338">
            <w:r>
              <w:lastRenderedPageBreak/>
              <w:t>Ņemts vērā, papildināta ziņojuma 9.5. sadaļa</w:t>
            </w:r>
          </w:p>
        </w:tc>
        <w:tc>
          <w:tcPr>
            <w:tcW w:w="4597" w:type="dxa"/>
          </w:tcPr>
          <w:p w:rsidR="009F7160" w:rsidRDefault="009F7160"/>
        </w:tc>
      </w:tr>
      <w:tr w:rsidR="005F6338" w:rsidTr="004A1171">
        <w:tc>
          <w:tcPr>
            <w:tcW w:w="1006" w:type="dxa"/>
          </w:tcPr>
          <w:p w:rsidR="005F6338" w:rsidRDefault="005F6338"/>
        </w:tc>
        <w:tc>
          <w:tcPr>
            <w:tcW w:w="6502" w:type="dxa"/>
          </w:tcPr>
          <w:p w:rsidR="005F6338" w:rsidRDefault="005F6338">
            <w:r w:rsidRPr="005F6338">
              <w:t>Ziņojuma 3. pielikumā ir pievienoti īpašuma tiesības apliecinošie dokumenti (Zemesgrāmatas izdrukas kopija), Pārvaldes ieskatā lietderīgāk pielikumā pievienot Zemes robežu, situācijas un apgrūtinājumu plānu, kā arī atmežojamās meža zemes izvietojuma plānu.</w:t>
            </w:r>
          </w:p>
        </w:tc>
        <w:tc>
          <w:tcPr>
            <w:tcW w:w="1843" w:type="dxa"/>
          </w:tcPr>
          <w:p w:rsidR="005F6338" w:rsidRDefault="005F6338">
            <w:r>
              <w:t xml:space="preserve">Ņemts vērā, </w:t>
            </w:r>
            <w:r w:rsidR="00A42753">
              <w:t>3.pielikumā pievienots zemes robežu plāns</w:t>
            </w:r>
          </w:p>
        </w:tc>
        <w:tc>
          <w:tcPr>
            <w:tcW w:w="4597" w:type="dxa"/>
          </w:tcPr>
          <w:p w:rsidR="005F6338" w:rsidRDefault="00096455">
            <w:r>
              <w:t>Meža zemes robežas uzrādītas Zemes robežu plānā. Detāla atmežojamā platība tiks noteikta un iemērīta Ieguves projektā.</w:t>
            </w:r>
          </w:p>
        </w:tc>
      </w:tr>
      <w:tr w:rsidR="00A42753" w:rsidRPr="00A42753" w:rsidTr="00FD55D0">
        <w:tc>
          <w:tcPr>
            <w:tcW w:w="13948" w:type="dxa"/>
            <w:gridSpan w:val="4"/>
          </w:tcPr>
          <w:p w:rsidR="00A42753" w:rsidRPr="00A42753" w:rsidRDefault="00A42753">
            <w:pPr>
              <w:rPr>
                <w:b/>
              </w:rPr>
            </w:pPr>
            <w:r w:rsidRPr="00A42753">
              <w:rPr>
                <w:b/>
              </w:rPr>
              <w:t>VVD Ventspils RVP 16.10.2020. vēstule Nr.2.4/2232/VE/2020</w:t>
            </w:r>
          </w:p>
        </w:tc>
      </w:tr>
      <w:tr w:rsidR="00A42753" w:rsidTr="004A1171">
        <w:tc>
          <w:tcPr>
            <w:tcW w:w="1006" w:type="dxa"/>
          </w:tcPr>
          <w:p w:rsidR="00A42753" w:rsidRDefault="00A42753"/>
        </w:tc>
        <w:tc>
          <w:tcPr>
            <w:tcW w:w="6502" w:type="dxa"/>
          </w:tcPr>
          <w:p w:rsidR="00A42753" w:rsidRDefault="00A42753">
            <w:r w:rsidRPr="00A42753">
              <w:t>Pārvalde, izskatot Ziņojumu, secina, ka kopumā tas sagatavots labi un tajā iekļauta informācija atbilstoši Vides pārraudzības valsts biroja sagatavotajai programmai.</w:t>
            </w:r>
          </w:p>
        </w:tc>
        <w:tc>
          <w:tcPr>
            <w:tcW w:w="1843" w:type="dxa"/>
          </w:tcPr>
          <w:p w:rsidR="00A42753" w:rsidRDefault="004A1171">
            <w:r>
              <w:t>Nav nepieciešamas izmaiņas</w:t>
            </w:r>
          </w:p>
        </w:tc>
        <w:tc>
          <w:tcPr>
            <w:tcW w:w="4597" w:type="dxa"/>
          </w:tcPr>
          <w:p w:rsidR="00A42753" w:rsidRDefault="00A42753"/>
        </w:tc>
      </w:tr>
      <w:tr w:rsidR="004F0771" w:rsidRPr="004F0771" w:rsidTr="005371EF">
        <w:tc>
          <w:tcPr>
            <w:tcW w:w="13948" w:type="dxa"/>
            <w:gridSpan w:val="4"/>
          </w:tcPr>
          <w:p w:rsidR="004F0771" w:rsidRPr="004F0771" w:rsidRDefault="004F0771" w:rsidP="004F0771">
            <w:pPr>
              <w:rPr>
                <w:b/>
              </w:rPr>
            </w:pPr>
            <w:r w:rsidRPr="004F0771">
              <w:rPr>
                <w:b/>
              </w:rPr>
              <w:t xml:space="preserve">Valda </w:t>
            </w:r>
            <w:proofErr w:type="spellStart"/>
            <w:r w:rsidRPr="004F0771">
              <w:rPr>
                <w:b/>
              </w:rPr>
              <w:t>Levkāna</w:t>
            </w:r>
            <w:proofErr w:type="spellEnd"/>
            <w:r w:rsidRPr="004F0771">
              <w:rPr>
                <w:b/>
              </w:rPr>
              <w:t xml:space="preserve"> 2020. gada 4. novembra vēstule</w:t>
            </w:r>
          </w:p>
        </w:tc>
      </w:tr>
      <w:tr w:rsidR="00A42753" w:rsidTr="004A1171">
        <w:tc>
          <w:tcPr>
            <w:tcW w:w="1006" w:type="dxa"/>
          </w:tcPr>
          <w:p w:rsidR="00A42753" w:rsidRDefault="00A42753"/>
        </w:tc>
        <w:tc>
          <w:tcPr>
            <w:tcW w:w="6502" w:type="dxa"/>
          </w:tcPr>
          <w:p w:rsidR="00A42753" w:rsidRDefault="004F0771">
            <w:r w:rsidRPr="004F0771">
              <w:t>Ziņojuma 33. lapā 5. attēlā ir iekļauta kļūdaina informācija attiecībā uz licences laukumu “Akmeņka</w:t>
            </w:r>
            <w:r>
              <w:t>l</w:t>
            </w:r>
            <w:r w:rsidRPr="004F0771">
              <w:t>ni” (1), to norādot tikai daļēji, neiekļaujot zemes vienību ar kadastra apzīmējumu 90440030019, lai gan licence bija izsniegta uz visu nekustamo īpašumu Akmeņkalni (skatīt pielikumu Nr.1). Papildus atbilstoši SIA “Cēres akmens” rīcībā esošajai informācijai zemes vienībai ar kadastra apzīmējumu Nr.90440030037 “</w:t>
            </w:r>
            <w:proofErr w:type="spellStart"/>
            <w:r w:rsidRPr="004F0771">
              <w:t>Kālnāpji</w:t>
            </w:r>
            <w:proofErr w:type="spellEnd"/>
            <w:r w:rsidRPr="004F0771">
              <w:t>” (3) nav bijusi izsniegta licence, kā rezultātā to nevar atzīmēt kā licences laukumu.</w:t>
            </w:r>
          </w:p>
          <w:p w:rsidR="007623A7" w:rsidRDefault="007623A7"/>
        </w:tc>
        <w:tc>
          <w:tcPr>
            <w:tcW w:w="1843" w:type="dxa"/>
          </w:tcPr>
          <w:p w:rsidR="00A42753" w:rsidRDefault="004F0771">
            <w:r>
              <w:t>Nav ņemts vērā</w:t>
            </w:r>
          </w:p>
        </w:tc>
        <w:tc>
          <w:tcPr>
            <w:tcW w:w="4597" w:type="dxa"/>
          </w:tcPr>
          <w:p w:rsidR="00A42753" w:rsidRDefault="004F0771" w:rsidP="007623A7">
            <w:r w:rsidRPr="004F0771">
              <w:t xml:space="preserve">SIA “Cēres akmens” </w:t>
            </w:r>
            <w:r>
              <w:t xml:space="preserve">nav spēkā esošas </w:t>
            </w:r>
            <w:r w:rsidR="007623A7">
              <w:t>zemes dzīļu izmantošanas Licences</w:t>
            </w:r>
            <w:r w:rsidR="008D1351">
              <w:t xml:space="preserve"> iecirknim Akmeņkalni</w:t>
            </w:r>
            <w:r w:rsidR="007623A7">
              <w:t>, līdz ar to nav Licences laukuma, kura robežas būtu nosakāmas. Ziņojumā uzrādīti iecirkņi, kuros agrāk veikta derīgo izrakteņu ieguve saskaņā ar VVD sniegto informāciju.</w:t>
            </w:r>
          </w:p>
        </w:tc>
      </w:tr>
      <w:tr w:rsidR="004F0771" w:rsidTr="004A1171">
        <w:tc>
          <w:tcPr>
            <w:tcW w:w="1006" w:type="dxa"/>
          </w:tcPr>
          <w:p w:rsidR="004F0771" w:rsidRDefault="004F0771"/>
        </w:tc>
        <w:tc>
          <w:tcPr>
            <w:tcW w:w="6502" w:type="dxa"/>
          </w:tcPr>
          <w:p w:rsidR="004F0771" w:rsidRDefault="007623A7">
            <w:r w:rsidRPr="007623A7">
              <w:t>Iepriekš minētās ziņas neprecīzi norādītās arī ziņojuma 44. lapas 8. attēlā, un 54. lapas 10. attēlā. Savukārt ziņojuma 89. lapas 16. attēlā, 90. lapas 17. attēlā, 91. lapas 18. attēlā, 92. lapas 19. attēlā, 93. lapas 20. attēlā, 94. lapas 21. attēlā, 95. lapas 22. attēlā, 96. lapas 23. attēlā, 97. lapas 24 attēlā 107. lapas 26 attēlā un 111. lapas 27. attēlā ir neprecīzi norādīts Akmeņkalnu licences laukums, kā arī nav noradīta summārā koncentrācija, ņemot vērā saimniecisko darbību nekustamajā īpašumā “Akmeņkalni”.</w:t>
            </w:r>
          </w:p>
        </w:tc>
        <w:tc>
          <w:tcPr>
            <w:tcW w:w="1843" w:type="dxa"/>
          </w:tcPr>
          <w:p w:rsidR="004F0771" w:rsidRDefault="007623A7">
            <w:r>
              <w:t>Nav ņemts vērā</w:t>
            </w:r>
          </w:p>
        </w:tc>
        <w:tc>
          <w:tcPr>
            <w:tcW w:w="4597" w:type="dxa"/>
          </w:tcPr>
          <w:p w:rsidR="004F0771" w:rsidRDefault="007623A7">
            <w:r>
              <w:t xml:space="preserve">Aprēķinot emisijas gaisā un trokšņa emisijas </w:t>
            </w:r>
            <w:r w:rsidR="00FD12FD">
              <w:t xml:space="preserve">ir </w:t>
            </w:r>
            <w:r>
              <w:t xml:space="preserve">ņemta vērā saimnieciskā darbība īpašumā “Akmeņkalni”, tā vērtēta kā esošā (respektīvi </w:t>
            </w:r>
            <w:r w:rsidR="00FD12FD">
              <w:t>fona līmenis), tādējādi tā ir ņemta vērā novērtējot arī summārās emisijas.</w:t>
            </w:r>
          </w:p>
        </w:tc>
      </w:tr>
      <w:tr w:rsidR="004F0771" w:rsidTr="004A1171">
        <w:tc>
          <w:tcPr>
            <w:tcW w:w="1006" w:type="dxa"/>
          </w:tcPr>
          <w:p w:rsidR="004F0771" w:rsidRDefault="004F0771"/>
        </w:tc>
        <w:tc>
          <w:tcPr>
            <w:tcW w:w="6502" w:type="dxa"/>
          </w:tcPr>
          <w:p w:rsidR="001F23DB" w:rsidRDefault="001F23DB" w:rsidP="001F23DB">
            <w:r>
              <w:t>Ziņojuma izstrādes gaitā SIA “Cēres akmens” sniedza ziņas izstrādātājam SIA “Firma L4” par saimnieciskās darbības veikšanu nekustamajā īpašumā “Akmeņkalni”, kas atspoguļoti ziņojumā daļēji mums nezināmu apsvērumu dēļ. Darba laiks pretēji mūsu sniegtajai informācijai ir samazināts no plkst. 19.00 uz 16.00 (skatīt 101. lapā 2 paragrāfu no apakšas). Papildus tika norādīta arī informācija, ka nekustamajā īpašumā “Akmeņkalni” tiek veikta krautņu materiāla apstrāde, vidēji pēdējos 2 gados apstrādājot 180 000 m3 gadā, tādējādi nepiekrītam ziņojumā minētajam, ka nekustamajā īpašumā “Akmeņkalni” notiek fragmentāra darbība (72. lapas 2. punktā). Ziņojuma 102. lapas 20. tabulā aprēķinos norādītas tikai divas kravas automašīnas, lai gan tika sniegta informācija par vidēji 30</w:t>
            </w:r>
          </w:p>
          <w:p w:rsidR="004F0771" w:rsidRDefault="001F23DB" w:rsidP="001F23DB">
            <w:r>
              <w:t>reisiem dienā, kā arī ziņojumā nav ņemta vērā vēl trīs frontālo iekrāvēju un ekskavatora darbība nekustamajā īpašumā, kā rezultātā aprēķini no 83. lapā ir nepilnīgi attiecībā uz darbību nekustamajā īpašumā Akmeņkalni, ieskaitot summāros.</w:t>
            </w:r>
          </w:p>
        </w:tc>
        <w:tc>
          <w:tcPr>
            <w:tcW w:w="1843" w:type="dxa"/>
          </w:tcPr>
          <w:p w:rsidR="004F0771" w:rsidRDefault="0095677C">
            <w:r>
              <w:t>Nav ņemts vērā</w:t>
            </w:r>
          </w:p>
        </w:tc>
        <w:tc>
          <w:tcPr>
            <w:tcW w:w="4597" w:type="dxa"/>
          </w:tcPr>
          <w:p w:rsidR="00096455" w:rsidRDefault="00096455">
            <w:r>
              <w:t xml:space="preserve">Informācija </w:t>
            </w:r>
            <w:r w:rsidR="008D1351">
              <w:t xml:space="preserve">par saimniecisko darbību īpašumā Akmeņkalni </w:t>
            </w:r>
            <w:r>
              <w:t>tika sniegta</w:t>
            </w:r>
            <w:r w:rsidR="0095677C">
              <w:t xml:space="preserve"> par iepriekšējiem 2 gadiem un tā ņemt</w:t>
            </w:r>
            <w:r>
              <w:t xml:space="preserve">a vērā daļēji, </w:t>
            </w:r>
            <w:r w:rsidR="0095677C">
              <w:t xml:space="preserve">vērtējot fona stāvokli (emisijas gaisā un troksni). </w:t>
            </w:r>
          </w:p>
          <w:p w:rsidR="004F0771" w:rsidRDefault="00096455">
            <w:r>
              <w:t>V</w:t>
            </w:r>
            <w:r w:rsidR="0095677C">
              <w:t xml:space="preserve">airākkārt </w:t>
            </w:r>
            <w:r>
              <w:t xml:space="preserve">apsekojot </w:t>
            </w:r>
            <w:r w:rsidR="0095677C">
              <w:t>paredzētās darbības teritoriju un arī iecirkni Akmeņkalni darba dienās</w:t>
            </w:r>
            <w:r>
              <w:t>,</w:t>
            </w:r>
            <w:r w:rsidR="0095677C">
              <w:t xml:space="preserve"> darba laikā pavasarī, vasarā un rudenī 2020.gadā nevienu reizi netika konstatēta </w:t>
            </w:r>
            <w:r w:rsidR="00225D7E">
              <w:t xml:space="preserve">aktīva </w:t>
            </w:r>
            <w:r>
              <w:t>saimnieciskā darbība iecirknī Akmeņkalni. T</w:t>
            </w:r>
            <w:r w:rsidR="00225D7E">
              <w:t>ādēļ uzskatām, ka sniegtā informā</w:t>
            </w:r>
            <w:r>
              <w:t xml:space="preserve">cija ir </w:t>
            </w:r>
            <w:r w:rsidR="008D1351">
              <w:t>attiecināma uz pagājušo periodu u</w:t>
            </w:r>
            <w:r>
              <w:t>n pārspīlēta</w:t>
            </w:r>
            <w:r w:rsidR="008D1351">
              <w:t xml:space="preserve"> par šobrīd notiekošo un plānoto nākotnē. Līdz ar to tā viennozīmīgi</w:t>
            </w:r>
            <w:r>
              <w:t xml:space="preserve"> nav piemērojama esošajai situācijai vai situācijai nākotnē – pēc aptuveni 2 gadiem, kad iecirknī Ausekļi tiks uzsākta darbība, jo krautņu apjoms </w:t>
            </w:r>
            <w:r w:rsidR="008D1351">
              <w:t xml:space="preserve">īpašumā Akmeņkalni </w:t>
            </w:r>
            <w:r>
              <w:t>ir ierobežots un izstrādājot 180000m</w:t>
            </w:r>
            <w:r>
              <w:rPr>
                <w:vertAlign w:val="superscript"/>
              </w:rPr>
              <w:t>3</w:t>
            </w:r>
            <w:r>
              <w:t>m gadā pēc 2 gadiem visti</w:t>
            </w:r>
            <w:r w:rsidR="008D1351">
              <w:t>camāk vairs nebūs ko pārstrādāt -</w:t>
            </w:r>
          </w:p>
          <w:p w:rsidR="00096455" w:rsidRDefault="00225D7E" w:rsidP="00225D7E">
            <w:r>
              <w:t xml:space="preserve">krautņu pārstrāde jau būs pabeigta.  </w:t>
            </w:r>
          </w:p>
          <w:p w:rsidR="00225D7E" w:rsidRDefault="00225D7E" w:rsidP="00225D7E">
            <w:r>
              <w:t>2 kravas a</w:t>
            </w:r>
            <w:r w:rsidR="008D1351">
              <w:t xml:space="preserve">utomašīnas norādītas, kā tādas, kas </w:t>
            </w:r>
            <w:r>
              <w:t xml:space="preserve"> </w:t>
            </w:r>
            <w:r w:rsidR="00096455">
              <w:t xml:space="preserve">potenciāli </w:t>
            </w:r>
            <w:r>
              <w:t xml:space="preserve">var strādāt iecirknī. </w:t>
            </w:r>
          </w:p>
          <w:p w:rsidR="00225D7E" w:rsidRDefault="00225D7E" w:rsidP="00225D7E">
            <w:r>
              <w:t>Kravas auto re</w:t>
            </w:r>
            <w:r w:rsidR="008D1351">
              <w:t xml:space="preserve">isi publiskajos ceļos par esošo darbību īpašumā Akmeņkalni </w:t>
            </w:r>
            <w:r>
              <w:t>darbību ir ietverti ceļu noslodzes datos un ņemti vērā kā esošais slodzes līmenis.</w:t>
            </w:r>
          </w:p>
        </w:tc>
      </w:tr>
      <w:tr w:rsidR="004F0771" w:rsidTr="004A1171">
        <w:tc>
          <w:tcPr>
            <w:tcW w:w="1006" w:type="dxa"/>
          </w:tcPr>
          <w:p w:rsidR="004F0771" w:rsidRDefault="004F0771"/>
        </w:tc>
        <w:tc>
          <w:tcPr>
            <w:tcW w:w="6502" w:type="dxa"/>
          </w:tcPr>
          <w:p w:rsidR="00225D7E" w:rsidRDefault="00225D7E" w:rsidP="00225D7E">
            <w:r>
              <w:t>Līdz ar to zemāk minētais secinājums ziņojuma 118. lapā būtu pārskatāms atbilstoši SIA “Cēres akmens” sniegtajai informācijai vismaz par materiāla pārstrādes jaudu 180’000 m3, ievērojot informācijā minētos tehnikas līdzekļus.</w:t>
            </w:r>
          </w:p>
          <w:p w:rsidR="004F0771" w:rsidRDefault="00225D7E" w:rsidP="00225D7E">
            <w:r>
              <w:lastRenderedPageBreak/>
              <w:t>“Izvērtējot emisijas gaisā un to izkliedi, kā arī trokšņa emisijas tika vērtēta arī summārā (kumulatīvā) ietekme, ko rada paredzētā darbība un saimnieciskā darbība atradnes Cēre iecirknī Akmeņkalni. Šobrīd veikto darbību iecirknī Akmeņkalni summārās ietekmes ar plānoto darbību iecirknī Ausekļi nerada tādas ietekmes, kas pārsniegtu normatīvajos aktos noteiktās robežvērtības. Tā kā nav zināms ar kuriem tehniskajiem līdzekļiem, kad un ar kādu jaudu tiks veikta derīgo izrakteņu ieguve SIA “Cēres akmens” piederošajos zemes īpašumos atradnes Cēre teritorijā (minētais uzņēmums nav saņēmis zemes dzīļu izmantošanas Licenci un ieguves limitus viņam piederošajos īpašumos), tādēļ pirms darbības uzsākšanas SIA “Cēres akmens” varēs izvērtēt summārās ietekmes ar šo paredzēto darbību”.</w:t>
            </w:r>
          </w:p>
        </w:tc>
        <w:tc>
          <w:tcPr>
            <w:tcW w:w="1843" w:type="dxa"/>
          </w:tcPr>
          <w:p w:rsidR="004F0771" w:rsidRDefault="00225D7E">
            <w:r>
              <w:lastRenderedPageBreak/>
              <w:t>Nav ņemts vērā</w:t>
            </w:r>
          </w:p>
        </w:tc>
        <w:tc>
          <w:tcPr>
            <w:tcW w:w="4597" w:type="dxa"/>
          </w:tcPr>
          <w:p w:rsidR="004A1171" w:rsidRDefault="00225D7E" w:rsidP="00DB4858">
            <w:r>
              <w:t>SIA “Cēres akmens” nav spēkā esošas zemes dzīļu izmantošanas Licences derīgo izrakteņu ieguvei iecirknī Akmeņkalni un nav zināms kad un vai tā tiks saņemta, tādejādi</w:t>
            </w:r>
            <w:r w:rsidR="004A1171">
              <w:t xml:space="preserve">, </w:t>
            </w:r>
            <w:r>
              <w:t xml:space="preserve">izvērtējot </w:t>
            </w:r>
            <w:r>
              <w:lastRenderedPageBreak/>
              <w:t>s</w:t>
            </w:r>
            <w:r w:rsidR="004A1171">
              <w:t xml:space="preserve">ummārās un kumulatīvās ietekmes, </w:t>
            </w:r>
            <w:r>
              <w:t xml:space="preserve">tiek ņemta vērā pašreizējā </w:t>
            </w:r>
            <w:r w:rsidR="004A1171">
              <w:t xml:space="preserve">saimnieciskā </w:t>
            </w:r>
            <w:r>
              <w:t xml:space="preserve">darbība. </w:t>
            </w:r>
          </w:p>
          <w:p w:rsidR="004F0771" w:rsidRDefault="004A1171" w:rsidP="004A1171">
            <w:r>
              <w:t>Uzskatām , ka n</w:t>
            </w:r>
            <w:r w:rsidR="00225D7E">
              <w:t>av pamatoti pieprasīt lai šajā IVN procesā tiktu izvērtēta iespējamā SIA “Cēres akmens”</w:t>
            </w:r>
            <w:r>
              <w:t xml:space="preserve"> darbība nākotnē,  </w:t>
            </w:r>
            <w:r w:rsidR="00225D7E">
              <w:t xml:space="preserve">kurai pirms </w:t>
            </w:r>
            <w:r w:rsidR="00DB4858">
              <w:t xml:space="preserve">tās </w:t>
            </w:r>
            <w:r w:rsidR="00225D7E">
              <w:t>uzsākšanas, normatīvajos aktos noteiktajā kārtībā veicams vismaz sākotnējais ietekmes uz vidi izvērtējums, un</w:t>
            </w:r>
            <w:r>
              <w:t>,</w:t>
            </w:r>
            <w:r w:rsidR="00225D7E">
              <w:t xml:space="preserve"> ņemot vērā </w:t>
            </w:r>
            <w:r w:rsidR="00DB4858">
              <w:t>derīgo izrakteņu valsts nozīmes a</w:t>
            </w:r>
            <w:r w:rsidR="00225D7E">
              <w:t>tradnes “Cēre” platību</w:t>
            </w:r>
            <w:r>
              <w:t>,</w:t>
            </w:r>
            <w:r w:rsidR="00225D7E">
              <w:t xml:space="preserve"> iespējams tiks piemērota Ietekmes uz vidi novērtējuma procedūra</w:t>
            </w:r>
          </w:p>
        </w:tc>
      </w:tr>
      <w:tr w:rsidR="004F0771" w:rsidTr="004A1171">
        <w:tc>
          <w:tcPr>
            <w:tcW w:w="1006" w:type="dxa"/>
          </w:tcPr>
          <w:p w:rsidR="004F0771" w:rsidRDefault="004F0771"/>
        </w:tc>
        <w:tc>
          <w:tcPr>
            <w:tcW w:w="6502" w:type="dxa"/>
          </w:tcPr>
          <w:p w:rsidR="004F0771" w:rsidRDefault="00DB4858" w:rsidP="00DB4858">
            <w:r w:rsidRPr="00DB4858">
              <w:t xml:space="preserve">Tāpat ziņojuma 43. lapas 2 paragrāfā no apakša būtu jānorāda, ieskaitot transporta plūsmu no nekustamā īpašuma Akmeņkalni. </w:t>
            </w:r>
          </w:p>
        </w:tc>
        <w:tc>
          <w:tcPr>
            <w:tcW w:w="1843" w:type="dxa"/>
          </w:tcPr>
          <w:p w:rsidR="004F0771" w:rsidRDefault="00DB4858">
            <w:r>
              <w:t>Nav ņemts vērā</w:t>
            </w:r>
          </w:p>
        </w:tc>
        <w:tc>
          <w:tcPr>
            <w:tcW w:w="4597" w:type="dxa"/>
          </w:tcPr>
          <w:p w:rsidR="004F0771" w:rsidRDefault="00DB4858" w:rsidP="00DB4858">
            <w:r>
              <w:t>Nav saprotama prasība</w:t>
            </w:r>
            <w:r w:rsidR="00152F23">
              <w:t xml:space="preserve"> un tās pamatojums.</w:t>
            </w:r>
            <w:r>
              <w:t xml:space="preserve">  </w:t>
            </w:r>
          </w:p>
          <w:p w:rsidR="00DB4858" w:rsidRDefault="00DB4858" w:rsidP="00DB4858">
            <w:r>
              <w:t xml:space="preserve">Minētajā sadaļā sniegta informācija par derīgā materiāla izvešanu no </w:t>
            </w:r>
            <w:r w:rsidR="004A1171">
              <w:t>paredzētās darbības teritorijas, tātad nekādā veidā tajā nav un netiek atspoguļota darbība iecirknī Akmeņkalni.</w:t>
            </w:r>
          </w:p>
          <w:p w:rsidR="004A1171" w:rsidRDefault="004A1171" w:rsidP="00DB4858"/>
          <w:p w:rsidR="00DB4858" w:rsidRDefault="00DB4858" w:rsidP="00F7450B">
            <w:r>
              <w:t xml:space="preserve">Kā jau minēts iepriekš, esošo transporta plūsmu uz izmantotajiem publiskas lietošanas ceļiem raksturo </w:t>
            </w:r>
            <w:r w:rsidR="00F7450B" w:rsidRPr="00F7450B">
              <w:t xml:space="preserve"> V</w:t>
            </w:r>
            <w:r w:rsidR="008D1351">
              <w:t xml:space="preserve">alsts </w:t>
            </w:r>
            <w:r w:rsidR="00F7450B" w:rsidRPr="00F7450B">
              <w:t>a/s "Latvija</w:t>
            </w:r>
            <w:r w:rsidR="00F7450B">
              <w:t>s Valsts ceļi" publiski pieejamā informācija</w:t>
            </w:r>
            <w:r w:rsidR="00F7450B" w:rsidRPr="00F7450B">
              <w:t xml:space="preserve"> par satiksmes intensitāti uz valsts autoceļiem par laika posmu no 2009. gada līdz 2019. gadam</w:t>
            </w:r>
            <w:r>
              <w:t>, un tajā tātad ir ietverta arī esošā transporta slodze no iecirkņa Akmeņkalni, ciktāl tā virzās pa to</w:t>
            </w:r>
            <w:r w:rsidR="00F7450B">
              <w:t xml:space="preserve"> </w:t>
            </w:r>
            <w:r>
              <w:t>pašu trasi</w:t>
            </w:r>
            <w:r w:rsidR="00F7450B">
              <w:t xml:space="preserve"> </w:t>
            </w:r>
            <w:r>
              <w:t xml:space="preserve">kas </w:t>
            </w:r>
            <w:r w:rsidR="00F7450B">
              <w:t xml:space="preserve">tiek izmantota paredzētās darbības ietvaros. </w:t>
            </w:r>
          </w:p>
        </w:tc>
      </w:tr>
      <w:tr w:rsidR="00DB4858" w:rsidTr="004A1171">
        <w:tc>
          <w:tcPr>
            <w:tcW w:w="1006" w:type="dxa"/>
          </w:tcPr>
          <w:p w:rsidR="00DB4858" w:rsidRDefault="00DB4858"/>
        </w:tc>
        <w:tc>
          <w:tcPr>
            <w:tcW w:w="6502" w:type="dxa"/>
          </w:tcPr>
          <w:p w:rsidR="00DB4858" w:rsidRDefault="00DB4858">
            <w:r w:rsidRPr="00DB4858">
              <w:t xml:space="preserve">Savukārt ziņojuma 55. lapā par nekustamo īpašumu Akmeņkalni būtu dzēšama informācija fragmentāri, nelielos apjomos, it sevišķi ņemot vērā ziņojuma 83. lapā minēto, ka transportlīdzekļi Akmeņkalnos </w:t>
            </w:r>
            <w:r w:rsidRPr="00DB4858">
              <w:lastRenderedPageBreak/>
              <w:t xml:space="preserve">darbosies ar tādu stundu skaitu kā Ausekļos (skatīt pirms 11. tabulas), lai gan ziņojumā turpmākos aprēķinos ir atšķirīgs stundu laiks norādīts </w:t>
            </w:r>
            <w:proofErr w:type="spellStart"/>
            <w:r w:rsidRPr="00DB4858">
              <w:t>Akmeņkanos</w:t>
            </w:r>
            <w:proofErr w:type="spellEnd"/>
            <w:r w:rsidRPr="00DB4858">
              <w:t xml:space="preserve"> strādājošajai tehnikai (skatīt 20 un 21 tabulu 102. lapā), kas būtu pārrēķināms atbilstoši tekstā norādītajam pieņēmumam.</w:t>
            </w:r>
          </w:p>
        </w:tc>
        <w:tc>
          <w:tcPr>
            <w:tcW w:w="1843" w:type="dxa"/>
          </w:tcPr>
          <w:p w:rsidR="00DB4858" w:rsidRDefault="00A134FB" w:rsidP="00A134FB">
            <w:r>
              <w:lastRenderedPageBreak/>
              <w:t xml:space="preserve">Nav ņemts vērā </w:t>
            </w:r>
          </w:p>
        </w:tc>
        <w:tc>
          <w:tcPr>
            <w:tcW w:w="4597" w:type="dxa"/>
          </w:tcPr>
          <w:p w:rsidR="00AE1278" w:rsidRDefault="00AE1278" w:rsidP="00A134FB">
            <w:r>
              <w:t>Nav saprotama prasība un tās pamatojums</w:t>
            </w:r>
            <w:r w:rsidR="00152F23">
              <w:t>.</w:t>
            </w:r>
          </w:p>
          <w:p w:rsidR="00152F23" w:rsidRDefault="00152F23" w:rsidP="00A134FB"/>
          <w:p w:rsidR="00DB4858" w:rsidRDefault="00A134FB" w:rsidP="004A1171">
            <w:r>
              <w:lastRenderedPageBreak/>
              <w:t>Emisiju aprēķinos tiek pieņemts maksimālais iespējamais</w:t>
            </w:r>
            <w:r w:rsidR="008D1351">
              <w:t xml:space="preserve"> darba laiks un tehnik</w:t>
            </w:r>
            <w:bookmarkStart w:id="0" w:name="_GoBack"/>
            <w:bookmarkEnd w:id="0"/>
            <w:r w:rsidR="00AE1278">
              <w:t>as vienības, kas darbojas vienlaikus</w:t>
            </w:r>
            <w:r>
              <w:t>, apzinoties, ka saskaņā ar apsekošanas rezultātiem, tas ir apzināti lielāks par reālo izmantoto tehnikas vienību</w:t>
            </w:r>
            <w:r w:rsidR="004A1171">
              <w:t xml:space="preserve"> skaitu</w:t>
            </w:r>
            <w:r>
              <w:t xml:space="preserve"> un to darba laiku</w:t>
            </w:r>
            <w:r w:rsidR="00AE1278">
              <w:t xml:space="preserve"> iecirknī Akmeņkalni</w:t>
            </w:r>
            <w:r>
              <w:t xml:space="preserve">. Pieņemts, ka darbojas iecirknī Akmeņkalni -  </w:t>
            </w:r>
            <w:r w:rsidRPr="00A134FB">
              <w:t>frontālais iekrāvējs – 2 gab., sijātājs, drupinātājs, ekskavators</w:t>
            </w:r>
            <w:r>
              <w:t xml:space="preserve"> un 2 kravas automašīnas. </w:t>
            </w:r>
            <w:r w:rsidR="00AE1278">
              <w:t xml:space="preserve">Tā kā aprēķinos tiek izmantots lielums stundas gadā, </w:t>
            </w:r>
            <w:r w:rsidR="004A1171">
              <w:t xml:space="preserve">tiek </w:t>
            </w:r>
            <w:r w:rsidR="00AE1278">
              <w:t>ņem</w:t>
            </w:r>
            <w:r w:rsidR="004A1171">
              <w:t>ts</w:t>
            </w:r>
            <w:r w:rsidR="00AE1278">
              <w:t xml:space="preserve"> vērā, ka ziemas laikā reāla materiāla apstrāde nenotiek. Tādejādi iekārtu darbības laiks vidēji gadā ir mazāks kā 8 stundas</w:t>
            </w:r>
            <w:r w:rsidR="004A1171">
              <w:t xml:space="preserve"> dienā.</w:t>
            </w:r>
            <w:r w:rsidR="00AE1278">
              <w:t xml:space="preserve"> </w:t>
            </w:r>
          </w:p>
        </w:tc>
      </w:tr>
      <w:tr w:rsidR="00DB4858" w:rsidTr="004A1171">
        <w:tc>
          <w:tcPr>
            <w:tcW w:w="1006" w:type="dxa"/>
          </w:tcPr>
          <w:p w:rsidR="00DB4858" w:rsidRDefault="00DB4858"/>
        </w:tc>
        <w:tc>
          <w:tcPr>
            <w:tcW w:w="6502" w:type="dxa"/>
          </w:tcPr>
          <w:p w:rsidR="00DB4858" w:rsidRDefault="00DB4858"/>
        </w:tc>
        <w:tc>
          <w:tcPr>
            <w:tcW w:w="1843" w:type="dxa"/>
          </w:tcPr>
          <w:p w:rsidR="00DB4858" w:rsidRDefault="00DB4858"/>
        </w:tc>
        <w:tc>
          <w:tcPr>
            <w:tcW w:w="4597" w:type="dxa"/>
          </w:tcPr>
          <w:p w:rsidR="00DB4858" w:rsidRDefault="00DB4858"/>
        </w:tc>
      </w:tr>
    </w:tbl>
    <w:p w:rsidR="009F7160" w:rsidRDefault="009F7160"/>
    <w:sectPr w:rsidR="009F7160" w:rsidSect="009F7160">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60"/>
    <w:rsid w:val="00096455"/>
    <w:rsid w:val="00152F23"/>
    <w:rsid w:val="001F23DB"/>
    <w:rsid w:val="00225D7E"/>
    <w:rsid w:val="004A1171"/>
    <w:rsid w:val="004F0771"/>
    <w:rsid w:val="005F6338"/>
    <w:rsid w:val="006B3BA0"/>
    <w:rsid w:val="007623A7"/>
    <w:rsid w:val="008925E9"/>
    <w:rsid w:val="008D1351"/>
    <w:rsid w:val="0095677C"/>
    <w:rsid w:val="009F7160"/>
    <w:rsid w:val="00A134FB"/>
    <w:rsid w:val="00A42753"/>
    <w:rsid w:val="00AE1278"/>
    <w:rsid w:val="00DB4858"/>
    <w:rsid w:val="00F7450B"/>
    <w:rsid w:val="00FD12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64B711-89B4-4B04-98FA-E461FFA0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7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6389</Words>
  <Characters>3643</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Inga Gavena</cp:lastModifiedBy>
  <cp:revision>6</cp:revision>
  <dcterms:created xsi:type="dcterms:W3CDTF">2020-10-30T19:51:00Z</dcterms:created>
  <dcterms:modified xsi:type="dcterms:W3CDTF">2020-11-05T18:33:00Z</dcterms:modified>
</cp:coreProperties>
</file>